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1"/>
        <w:jc w:val="center"/>
        <w:rPr>
          <w:rFonts w:eastAsia="Calibri"/>
          <w:sz w:val="26"/>
          <w:szCs w:val="26"/>
          <w:highlight w:val="yellow"/>
        </w:rPr>
      </w:pPr>
      <w:r>
        <w:rPr>
          <w:rFonts w:ascii="Calibri" w:hAnsi="Calibri" w:eastAsia="Calibri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8650" cy="771525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2865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9.50pt;height:60.75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rFonts w:eastAsia="Calibri"/>
          <w:sz w:val="26"/>
          <w:szCs w:val="26"/>
          <w:highlight w:val="yellow"/>
        </w:rPr>
      </w:r>
      <w:r>
        <w:rPr>
          <w:rFonts w:eastAsia="Calibri"/>
          <w:sz w:val="26"/>
          <w:szCs w:val="26"/>
          <w:highlight w:val="yellow"/>
        </w:rPr>
      </w:r>
    </w:p>
    <w:p>
      <w:pPr>
        <w:pStyle w:val="871"/>
        <w:ind w:right="-5"/>
        <w:jc w:val="center"/>
        <w:keepNext/>
        <w:rPr>
          <w:b/>
          <w:iCs/>
          <w:caps/>
          <w:color w:val="548dd4"/>
          <w:spacing w:val="-2"/>
          <w:sz w:val="24"/>
          <w:szCs w:val="24"/>
        </w:rPr>
        <w:outlineLvl w:val="3"/>
      </w:pPr>
      <w:r>
        <w:rPr>
          <w:iCs/>
          <w:caps/>
          <w:color w:val="548dd4"/>
          <w:sz w:val="24"/>
          <w:szCs w:val="24"/>
        </w:rPr>
        <w:t xml:space="preserve">Администрация</w:t>
      </w:r>
      <w:r>
        <w:rPr>
          <w:iCs/>
          <w:caps/>
          <w:color w:val="548dd4"/>
          <w:sz w:val="24"/>
          <w:szCs w:val="24"/>
        </w:rPr>
        <w:t xml:space="preserve"> </w:t>
      </w:r>
      <w:r>
        <w:rPr>
          <w:iCs/>
          <w:caps/>
          <w:color w:val="548dd4"/>
          <w:spacing w:val="-2"/>
          <w:sz w:val="24"/>
          <w:szCs w:val="24"/>
        </w:rPr>
        <w:t xml:space="preserve">Ленинградской области</w:t>
      </w:r>
      <w:r>
        <w:rPr>
          <w:b/>
          <w:iCs/>
          <w:caps/>
          <w:color w:val="548dd4"/>
          <w:spacing w:val="-2"/>
          <w:sz w:val="24"/>
          <w:szCs w:val="24"/>
        </w:rPr>
      </w:r>
      <w:r>
        <w:rPr>
          <w:b/>
          <w:iCs/>
          <w:caps/>
          <w:color w:val="548dd4"/>
          <w:spacing w:val="-2"/>
          <w:sz w:val="24"/>
          <w:szCs w:val="24"/>
        </w:rPr>
      </w:r>
    </w:p>
    <w:p>
      <w:pPr>
        <w:pStyle w:val="871"/>
        <w:ind w:right="-5"/>
        <w:jc w:val="center"/>
        <w:rPr>
          <w:caps/>
          <w:color w:val="548dd4"/>
          <w:sz w:val="13"/>
          <w:szCs w:val="13"/>
          <w:highlight w:val="yellow"/>
        </w:rPr>
      </w:pPr>
      <w:r>
        <w:rPr>
          <w:caps/>
          <w:color w:val="548dd4"/>
          <w:sz w:val="13"/>
          <w:szCs w:val="13"/>
          <w:highlight w:val="yellow"/>
        </w:rPr>
      </w:r>
      <w:r>
        <w:rPr>
          <w:caps/>
          <w:color w:val="548dd4"/>
          <w:sz w:val="13"/>
          <w:szCs w:val="13"/>
          <w:highlight w:val="yellow"/>
        </w:rPr>
      </w:r>
      <w:r>
        <w:rPr>
          <w:caps/>
          <w:color w:val="548dd4"/>
          <w:sz w:val="13"/>
          <w:szCs w:val="13"/>
          <w:highlight w:val="yellow"/>
        </w:rPr>
      </w:r>
    </w:p>
    <w:p>
      <w:pPr>
        <w:pStyle w:val="871"/>
        <w:ind w:right="-5"/>
        <w:jc w:val="center"/>
        <w:tabs>
          <w:tab w:val="left" w:pos="4116" w:leader="none"/>
        </w:tabs>
        <w:rPr>
          <w:b/>
          <w:caps/>
          <w:color w:val="548dd4"/>
          <w:spacing w:val="-8"/>
          <w:u w:val="single"/>
        </w:rPr>
      </w:pPr>
      <w:r>
        <w:rPr>
          <w:b/>
          <w:caps/>
          <w:color w:val="548dd4"/>
          <w:spacing w:val="-8"/>
        </w:rPr>
        <w:t xml:space="preserve">КОМИТЕТ государственного экологического надзора</w:t>
      </w:r>
      <w:r>
        <w:rPr>
          <w:b/>
          <w:caps/>
          <w:color w:val="548dd4"/>
          <w:spacing w:val="-8"/>
          <w:u w:val="single"/>
        </w:rPr>
      </w:r>
      <w:r>
        <w:rPr>
          <w:b/>
          <w:caps/>
          <w:color w:val="548dd4"/>
          <w:spacing w:val="-8"/>
          <w:u w:val="single"/>
        </w:rPr>
      </w:r>
    </w:p>
    <w:p>
      <w:pPr>
        <w:pStyle w:val="871"/>
        <w:ind w:right="-5"/>
        <w:jc w:val="center"/>
        <w:tabs>
          <w:tab w:val="left" w:pos="4116" w:leader="none"/>
        </w:tabs>
        <w:rPr>
          <w:b/>
          <w:caps/>
          <w:color w:val="548dd4"/>
        </w:rPr>
      </w:pPr>
      <w:r>
        <w:rPr>
          <w:b/>
          <w:caps/>
          <w:color w:val="548dd4"/>
        </w:rPr>
        <w:t xml:space="preserve">ленинградской области</w:t>
      </w:r>
      <w:r>
        <w:rPr>
          <w:b/>
          <w:caps/>
          <w:color w:val="548dd4"/>
        </w:rPr>
      </w:r>
      <w:r>
        <w:rPr>
          <w:b/>
          <w:caps/>
          <w:color w:val="548dd4"/>
        </w:rPr>
      </w:r>
    </w:p>
    <w:p>
      <w:pPr>
        <w:pStyle w:val="871"/>
        <w:ind w:right="-5"/>
        <w:jc w:val="center"/>
        <w:rPr>
          <w:caps/>
          <w:color w:val="548dd4"/>
          <w:sz w:val="27"/>
          <w:szCs w:val="27"/>
          <w:highlight w:val="yellow"/>
        </w:rPr>
      </w:pPr>
      <w:r>
        <w:rPr>
          <w:caps/>
          <w:color w:val="548dd4"/>
          <w:sz w:val="27"/>
          <w:szCs w:val="27"/>
          <w:highlight w:val="yellow"/>
        </w:rPr>
      </w:r>
      <w:r>
        <w:rPr>
          <w:caps/>
          <w:color w:val="548dd4"/>
          <w:sz w:val="27"/>
          <w:szCs w:val="27"/>
          <w:highlight w:val="yellow"/>
        </w:rPr>
      </w:r>
      <w:r>
        <w:rPr>
          <w:caps/>
          <w:color w:val="548dd4"/>
          <w:sz w:val="27"/>
          <w:szCs w:val="27"/>
          <w:highlight w:val="yellow"/>
        </w:rPr>
      </w:r>
    </w:p>
    <w:p>
      <w:pPr>
        <w:pStyle w:val="871"/>
        <w:ind w:hanging="240"/>
        <w:jc w:val="center"/>
        <w:tabs>
          <w:tab w:val="left" w:pos="3720" w:leader="none"/>
          <w:tab w:val="left" w:pos="3960" w:leader="none"/>
          <w:tab w:val="left" w:pos="4200" w:leader="none"/>
        </w:tabs>
        <w:rPr>
          <w:b/>
          <w:sz w:val="27"/>
          <w:szCs w:val="27"/>
        </w:rPr>
        <w:outlineLvl w:val="0"/>
      </w:pPr>
      <w:r>
        <w:rPr>
          <w:b/>
          <w:sz w:val="27"/>
          <w:szCs w:val="27"/>
        </w:rPr>
        <w:t xml:space="preserve">ПРИКАЗ</w:t>
      </w:r>
      <w:r>
        <w:rPr>
          <w:b/>
          <w:sz w:val="27"/>
          <w:szCs w:val="27"/>
        </w:rPr>
      </w:r>
      <w:r>
        <w:rPr>
          <w:b/>
          <w:sz w:val="27"/>
          <w:szCs w:val="27"/>
        </w:rPr>
      </w:r>
    </w:p>
    <w:p>
      <w:pPr>
        <w:pStyle w:val="875"/>
        <w:jc w:val="both"/>
        <w:widowControl/>
        <w:tabs>
          <w:tab w:val="left" w:pos="4224" w:leader="none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>
      <w:pPr>
        <w:pStyle w:val="871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от «</w:t>
      </w:r>
      <w:r>
        <w:rPr>
          <w:sz w:val="27"/>
          <w:szCs w:val="27"/>
          <w:u w:val="single"/>
        </w:rPr>
        <w:t xml:space="preserve"> </w:t>
      </w:r>
      <w:r>
        <w:rPr>
          <w:sz w:val="27"/>
          <w:szCs w:val="27"/>
          <w:u w:val="single"/>
        </w:rPr>
        <w:t xml:space="preserve">  </w:t>
      </w:r>
      <w:r>
        <w:rPr>
          <w:sz w:val="27"/>
          <w:szCs w:val="27"/>
          <w:u w:val="single"/>
        </w:rPr>
        <w:t xml:space="preserve"> </w:t>
      </w:r>
      <w:r>
        <w:rPr>
          <w:sz w:val="27"/>
          <w:szCs w:val="27"/>
          <w:u w:val="single"/>
        </w:rPr>
        <w:t xml:space="preserve"> </w:t>
      </w:r>
      <w:r>
        <w:rPr>
          <w:sz w:val="27"/>
          <w:szCs w:val="27"/>
        </w:rPr>
        <w:t xml:space="preserve">» </w:t>
      </w:r>
      <w:r>
        <w:rPr>
          <w:sz w:val="27"/>
          <w:szCs w:val="27"/>
        </w:rPr>
        <w:t xml:space="preserve">_________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202</w:t>
      </w:r>
      <w:r>
        <w:rPr>
          <w:sz w:val="27"/>
          <w:szCs w:val="27"/>
        </w:rPr>
        <w:t xml:space="preserve">6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года                          </w:t>
      </w:r>
      <w:r>
        <w:rPr>
          <w:sz w:val="27"/>
          <w:szCs w:val="27"/>
        </w:rPr>
        <w:t xml:space="preserve">                 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                    </w:t>
      </w:r>
      <w:r>
        <w:rPr>
          <w:sz w:val="27"/>
          <w:szCs w:val="27"/>
        </w:rPr>
        <w:t xml:space="preserve">№ </w:t>
      </w:r>
      <w:r>
        <w:rPr>
          <w:sz w:val="27"/>
          <w:szCs w:val="27"/>
        </w:rPr>
        <w:t xml:space="preserve">_______________</w:t>
      </w:r>
      <w:r>
        <w:rPr>
          <w:sz w:val="27"/>
          <w:szCs w:val="27"/>
          <w:u w:val="single"/>
        </w:rPr>
      </w:r>
      <w:r>
        <w:rPr>
          <w:sz w:val="27"/>
          <w:szCs w:val="27"/>
          <w:u w:val="single"/>
        </w:rPr>
      </w:r>
    </w:p>
    <w:p>
      <w:pPr>
        <w:pStyle w:val="871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>
        <w:rPr>
          <w:b/>
          <w:sz w:val="27"/>
          <w:szCs w:val="27"/>
        </w:rPr>
      </w:r>
    </w:p>
    <w:p>
      <w:pPr>
        <w:pStyle w:val="871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Об </w:t>
      </w:r>
      <w:r>
        <w:rPr>
          <w:b/>
          <w:sz w:val="27"/>
          <w:szCs w:val="27"/>
        </w:rPr>
        <w:t xml:space="preserve">утверждении Положения о порядке установления стимулирующих выплат руководителю Ленинградского областного государственного казенного учреждения «Ленинградская областная экологическая милиция</w:t>
      </w:r>
      <w:r>
        <w:rPr>
          <w:b/>
          <w:sz w:val="27"/>
          <w:szCs w:val="27"/>
        </w:rPr>
        <w:t xml:space="preserve">»</w:t>
      </w:r>
      <w:r>
        <w:rPr>
          <w:b/>
          <w:sz w:val="27"/>
          <w:szCs w:val="27"/>
        </w:rPr>
      </w:r>
      <w:r>
        <w:rPr>
          <w:b/>
          <w:sz w:val="27"/>
          <w:szCs w:val="27"/>
        </w:rPr>
      </w:r>
    </w:p>
    <w:p>
      <w:pPr>
        <w:pStyle w:val="871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>
        <w:rPr>
          <w:b/>
          <w:sz w:val="27"/>
          <w:szCs w:val="27"/>
        </w:rPr>
      </w:r>
    </w:p>
    <w:p>
      <w:pPr>
        <w:pStyle w:val="871"/>
        <w:ind w:firstLine="709"/>
        <w:jc w:val="both"/>
        <w:tabs>
          <w:tab w:val="left" w:pos="993" w:leader="none"/>
        </w:tabs>
      </w:pPr>
      <w:r>
        <w:rPr>
          <w:sz w:val="27"/>
          <w:szCs w:val="27"/>
        </w:rPr>
        <w:t xml:space="preserve">В с</w:t>
      </w:r>
      <w:r>
        <w:rPr>
          <w:sz w:val="27"/>
          <w:szCs w:val="27"/>
        </w:rPr>
        <w:t xml:space="preserve">оответствии с постановлением Правительства Ленинградской области </w:t>
        <w:br/>
        <w:t xml:space="preserve">от 30.04.2020 № 262 «Об утверждении Положения о системах оплаты труда </w:t>
        <w:br/>
        <w:t xml:space="preserve">в государственных учреждениях Ленинградской области по видам экономической деятельности и признании утратившими силу по</w:t>
      </w:r>
      <w:r>
        <w:rPr>
          <w:sz w:val="27"/>
          <w:szCs w:val="27"/>
        </w:rPr>
        <w:t xml:space="preserve">лностью или частично отдельных постановлений Правительства Ленинградской области» </w:t>
      </w:r>
      <w:r>
        <w:rPr>
          <w:sz w:val="27"/>
          <w:szCs w:val="27"/>
        </w:rPr>
        <w:t xml:space="preserve">приказываю:</w:t>
      </w:r>
      <w:r/>
    </w:p>
    <w:p>
      <w:pPr>
        <w:pStyle w:val="871"/>
        <w:ind w:firstLine="709"/>
        <w:jc w:val="both"/>
        <w:tabs>
          <w:tab w:val="left" w:pos="993" w:leader="none"/>
        </w:tabs>
      </w:pPr>
      <w:r>
        <w:rPr>
          <w:sz w:val="27"/>
          <w:szCs w:val="27"/>
        </w:rPr>
      </w:r>
      <w:r/>
    </w:p>
    <w:p>
      <w:pPr>
        <w:pStyle w:val="871"/>
        <w:ind w:firstLine="709"/>
        <w:jc w:val="both"/>
        <w:tabs>
          <w:tab w:val="left" w:pos="993" w:leader="none"/>
        </w:tabs>
      </w:pPr>
      <w:r>
        <w:rPr>
          <w:sz w:val="27"/>
          <w:szCs w:val="27"/>
        </w:rPr>
        <w:t xml:space="preserve">1</w:t>
      </w:r>
      <w:r>
        <w:rPr>
          <w:sz w:val="27"/>
          <w:szCs w:val="27"/>
        </w:rPr>
        <w:t xml:space="preserve">. Утвердить Положение о порядке установления стимулирующих выплат руководителю Ленинградского областного государственного казенного учреждения «Ленинградская областная экологическая милиция», подведомственного Комитету государственного экологического надзо</w:t>
      </w:r>
      <w:r>
        <w:rPr>
          <w:sz w:val="27"/>
          <w:szCs w:val="27"/>
        </w:rPr>
        <w:t xml:space="preserve">ра Ленинградской области, согласно приложению к настоящему приказу.</w:t>
      </w:r>
      <w:r/>
    </w:p>
    <w:p>
      <w:pPr>
        <w:pStyle w:val="871"/>
        <w:ind w:firstLine="709"/>
        <w:jc w:val="both"/>
        <w:tabs>
          <w:tab w:val="left" w:pos="993" w:leader="none"/>
        </w:tabs>
        <w:rPr>
          <w:sz w:val="27"/>
          <w:szCs w:val="27"/>
          <w:highlight w:val="none"/>
        </w:rPr>
      </w:pPr>
      <w:r>
        <w:rPr>
          <w:sz w:val="27"/>
          <w:szCs w:val="27"/>
        </w:rPr>
        <w:t xml:space="preserve">2. Признать утратившими силу приказы Комитета государственного экологического надзора Ленинградской области:</w:t>
      </w: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</w:p>
    <w:p>
      <w:pPr>
        <w:ind w:firstLine="709"/>
        <w:jc w:val="both"/>
        <w:rPr>
          <w:sz w:val="27"/>
          <w:szCs w:val="27"/>
          <w:highlight w:val="none"/>
        </w:rPr>
      </w:pP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</w:p>
    <w:p>
      <w:pPr>
        <w:pStyle w:val="711"/>
        <w:numPr>
          <w:ilvl w:val="0"/>
          <w:numId w:val="19"/>
        </w:numPr>
        <w:ind w:left="0" w:right="0" w:firstLine="709"/>
        <w:jc w:val="both"/>
        <w:rPr>
          <w:sz w:val="27"/>
          <w:szCs w:val="27"/>
          <w:highlight w:val="none"/>
        </w:rPr>
      </w:pP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  <w:t xml:space="preserve">от 27.12.2021 № 1.3-01-26 «Об утверждении Положения о порядке установления стимулирующих выплат руководителю Ленинградского областного государственного казенного учреждения «Ленинградская областная экологическая милиция»;</w:t>
      </w: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</w:p>
    <w:p>
      <w:pPr>
        <w:pStyle w:val="711"/>
        <w:numPr>
          <w:ilvl w:val="0"/>
          <w:numId w:val="19"/>
        </w:numPr>
        <w:ind w:left="0" w:right="0" w:firstLine="709"/>
        <w:jc w:val="both"/>
        <w:rPr>
          <w:sz w:val="27"/>
          <w:szCs w:val="27"/>
          <w:highlight w:val="none"/>
        </w:rPr>
      </w:pP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  <w:t xml:space="preserve">от</w:t>
      </w:r>
      <w:r>
        <w:rPr>
          <w:sz w:val="27"/>
          <w:szCs w:val="27"/>
          <w:highlight w:val="none"/>
        </w:rPr>
        <w:t xml:space="preserve"> 07.11.2024 № 1.4-02-04 «О внесении изменения в приказ Комитета государственного экологического надзора Ленинградской области от 27.12.2021 </w:t>
        <w:br/>
        <w:t xml:space="preserve">№ 1.3-01-26 «Об утверждении Положения о порядке установления стимулирующих выплат руководителю Ленинградского облас</w:t>
      </w:r>
      <w:r>
        <w:rPr>
          <w:sz w:val="27"/>
          <w:szCs w:val="27"/>
          <w:highlight w:val="none"/>
        </w:rPr>
        <w:t xml:space="preserve">тного государственного казенного учреждения «Ленинградская областная экологическая милиция».</w:t>
      </w: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</w:p>
    <w:p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 </w:t>
      </w:r>
      <w:r>
        <w:rPr>
          <w:sz w:val="27"/>
          <w:szCs w:val="27"/>
        </w:rPr>
        <w:t xml:space="preserve">Контроль за исполнением настоящего приказа оставляю за собой.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71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71"/>
        <w:rPr>
          <w:sz w:val="27"/>
          <w:szCs w:val="27"/>
          <w:highlight w:val="yellow"/>
        </w:rPr>
      </w:pPr>
      <w:r>
        <w:rPr>
          <w:sz w:val="27"/>
          <w:szCs w:val="27"/>
          <w:highlight w:val="yellow"/>
        </w:rPr>
      </w:r>
      <w:r>
        <w:rPr>
          <w:sz w:val="27"/>
          <w:szCs w:val="27"/>
          <w:highlight w:val="yellow"/>
        </w:rPr>
      </w:r>
      <w:r>
        <w:rPr>
          <w:sz w:val="27"/>
          <w:szCs w:val="27"/>
          <w:highlight w:val="yellow"/>
        </w:rPr>
      </w:r>
    </w:p>
    <w:p>
      <w:pPr>
        <w:rPr>
          <w:sz w:val="27"/>
          <w:szCs w:val="27"/>
          <w:highlight w:val="none"/>
        </w:rPr>
      </w:pPr>
      <w:r>
        <w:rPr>
          <w:sz w:val="27"/>
          <w:szCs w:val="27"/>
        </w:rPr>
        <w:t xml:space="preserve">Председатель</w:t>
      </w:r>
      <w:r>
        <w:rPr>
          <w:sz w:val="27"/>
          <w:szCs w:val="27"/>
        </w:rPr>
        <w:t xml:space="preserve"> К</w:t>
      </w:r>
      <w:r>
        <w:rPr>
          <w:sz w:val="27"/>
          <w:szCs w:val="27"/>
        </w:rPr>
        <w:t xml:space="preserve">омитета                                                  </w:t>
      </w:r>
      <w:r>
        <w:rPr>
          <w:sz w:val="27"/>
          <w:szCs w:val="27"/>
        </w:rPr>
        <w:t xml:space="preserve">         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      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       </w:t>
      </w:r>
      <w:r>
        <w:rPr>
          <w:sz w:val="27"/>
          <w:szCs w:val="27"/>
        </w:rPr>
        <w:t xml:space="preserve">  </w:t>
      </w:r>
      <w:r>
        <w:rPr>
          <w:sz w:val="27"/>
          <w:szCs w:val="27"/>
        </w:rPr>
        <w:t xml:space="preserve">      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 </w:t>
      </w:r>
      <w:r>
        <w:rPr>
          <w:sz w:val="27"/>
          <w:szCs w:val="27"/>
        </w:rPr>
        <w:t xml:space="preserve">Р.Э. Агаева</w:t>
      </w: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</w:p>
    <w:p>
      <w:pPr>
        <w:shd w:val="nil" w:color="auto"/>
        <w:rPr>
          <w:sz w:val="27"/>
          <w:szCs w:val="27"/>
        </w:rPr>
      </w:pPr>
      <w:r>
        <w:rPr>
          <w:sz w:val="27"/>
          <w:szCs w:val="27"/>
        </w:rPr>
        <w:br w:type="page" w:clear="all"/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ind w:left="5953" w:right="0" w:firstLine="0"/>
        <w:jc w:val="right"/>
        <w:rPr>
          <w:sz w:val="27"/>
          <w:szCs w:val="27"/>
          <w:highlight w:val="none"/>
        </w:rPr>
      </w:pPr>
      <w:r>
        <w:rPr>
          <w:sz w:val="27"/>
          <w:szCs w:val="27"/>
          <w:highlight w:val="none"/>
        </w:rPr>
        <w:t xml:space="preserve">УТВЕРЖДЕН</w:t>
      </w: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</w:p>
    <w:p>
      <w:pPr>
        <w:ind w:left="5953" w:right="0" w:firstLine="0"/>
        <w:jc w:val="right"/>
        <w:rPr>
          <w:sz w:val="27"/>
          <w:szCs w:val="27"/>
          <w:highlight w:val="none"/>
        </w:rPr>
      </w:pPr>
      <w:r>
        <w:rPr>
          <w:sz w:val="27"/>
          <w:szCs w:val="27"/>
          <w:highlight w:val="none"/>
        </w:rPr>
        <w:t xml:space="preserve">приказом </w:t>
      </w:r>
      <w:r>
        <w:rPr>
          <w:sz w:val="27"/>
          <w:szCs w:val="27"/>
          <w:highlight w:val="none"/>
        </w:rPr>
        <w:t xml:space="preserve">Комитета государственного э</w:t>
      </w:r>
      <w:r>
        <w:rPr>
          <w:sz w:val="27"/>
          <w:szCs w:val="27"/>
          <w:highlight w:val="none"/>
        </w:rPr>
        <w:t xml:space="preserve">кологического надзора </w:t>
      </w:r>
      <w:r>
        <w:rPr>
          <w:sz w:val="27"/>
          <w:szCs w:val="27"/>
          <w:highlight w:val="none"/>
        </w:rPr>
        <w:t xml:space="preserve">Ленинградской области</w:t>
      </w: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</w:p>
    <w:p>
      <w:pPr>
        <w:ind w:left="5953" w:right="0" w:firstLine="0"/>
        <w:jc w:val="righ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от_______№__________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953" w:right="0" w:firstLine="0"/>
        <w:jc w:val="righ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953" w:right="0" w:firstLine="0"/>
        <w:jc w:val="righ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center"/>
      </w:pPr>
      <w:r>
        <w:rPr>
          <w:sz w:val="28"/>
          <w:szCs w:val="28"/>
          <w:highlight w:val="none"/>
        </w:rPr>
        <w:t xml:space="preserve">ПОЛОЖЕНИЕ</w:t>
      </w:r>
      <w:r/>
    </w:p>
    <w:p>
      <w:pPr>
        <w:ind w:left="0" w:right="0" w:firstLine="0"/>
        <w:jc w:val="center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О ПОРЯДКЕ УСТАНОВЛЕНИЯ СТИМУЛИРУЮЩИХ ВЫПЛАТ РУКОВОДИТЕЛЮ </w:t>
      </w:r>
      <w:r>
        <w:rPr>
          <w:sz w:val="28"/>
          <w:szCs w:val="28"/>
          <w:highlight w:val="none"/>
        </w:rPr>
        <w:t xml:space="preserve">ЛЕНИНГРАДСКОГО ОБЛАСТНОГО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center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ГОСУДАРСТВЕННОГО КАЗЕННОГО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center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УЧРЕЖДЕНИЯ «ЛЕНИНГРАДСКАЯ ОБЛАСТНАЯ ЭКОЛОГИЧЕСКАЯ МИЛИЦИЯ»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center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:highlight w:val="none"/>
        </w:rPr>
        <w:t xml:space="preserve">1.</w:t>
      </w:r>
      <w:r>
        <w:rPr>
          <w:sz w:val="28"/>
          <w:szCs w:val="28"/>
          <w:highlight w:val="none"/>
        </w:rPr>
        <w:t xml:space="preserve"> Настоящее Положение устанавливает порядок определения размера </w:t>
        <w:br/>
        <w:t xml:space="preserve">и периодичности выплат стимулирующего характера руководителю Ленинградского областного государственного казенного учреждения «Ленинградская областная экологическая милиция», подведомственного </w:t>
      </w:r>
      <w:r>
        <w:rPr>
          <w:sz w:val="28"/>
          <w:szCs w:val="28"/>
          <w:highlight w:val="none"/>
        </w:rPr>
        <w:t xml:space="preserve">Комитету государственного экологического надзора Ленинградской области (далее - Учреждение, Комитет).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:highlight w:val="none"/>
        </w:rPr>
        <w:t xml:space="preserve">2.</w:t>
      </w:r>
      <w:r>
        <w:rPr>
          <w:sz w:val="28"/>
          <w:szCs w:val="28"/>
          <w:highlight w:val="none"/>
        </w:rPr>
        <w:t xml:space="preserve"> Положение разработано в целях усиления заинтересованности директора </w:t>
        <w:br/>
        <w:t xml:space="preserve">в повышении результативности профессиональной деятельности, в качественном результате своего труда, своевременном выполнении своих должностных обязанностей, а также для поощрения за выпо</w:t>
      </w:r>
      <w:r>
        <w:rPr>
          <w:sz w:val="28"/>
          <w:szCs w:val="28"/>
          <w:highlight w:val="none"/>
        </w:rPr>
        <w:t xml:space="preserve">лненную надлежащим образом работу.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:highlight w:val="none"/>
        </w:rPr>
        <w:t xml:space="preserve">3</w:t>
      </w:r>
      <w:r>
        <w:rPr>
          <w:sz w:val="28"/>
          <w:szCs w:val="28"/>
          <w:highlight w:val="none"/>
        </w:rPr>
        <w:t xml:space="preserve">. Положение разработано в соответствии с областным законом от 20 декабря 2019 года № 103-оз «Об оплате труда работников государственных учреждений Ленинградской области» (далее - областной закон), а также постановлением Правительства Ленинградской области </w:t>
      </w:r>
      <w:r>
        <w:rPr>
          <w:sz w:val="28"/>
          <w:szCs w:val="28"/>
          <w:highlight w:val="none"/>
        </w:rPr>
        <w:t xml:space="preserve">от </w:t>
      </w:r>
      <w:r>
        <w:rPr>
          <w:sz w:val="28"/>
          <w:szCs w:val="28"/>
          <w:highlight w:val="none"/>
        </w:rPr>
        <w:t xml:space="preserve">30 апреля 2020 года № 262 </w:t>
        <w:br/>
        <w:t xml:space="preserve">«Об утверждении Положения о системах оплаты труда в государственных учреждениях Ленинградской области по видам экономической деятельности </w:t>
        <w:br/>
        <w:t xml:space="preserve">и признании утратившими силу полностью или частично отдельных постановлений Правительства </w:t>
      </w:r>
      <w:r>
        <w:rPr>
          <w:sz w:val="28"/>
          <w:szCs w:val="28"/>
          <w:highlight w:val="none"/>
        </w:rPr>
        <w:t xml:space="preserve">Ленинградской области» (далее - Положение № 262).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:highlight w:val="none"/>
        </w:rPr>
        <w:t xml:space="preserve">4. Понятия и термины, применяемые в настоящем Положении, используются </w:t>
        <w:br/>
        <w:t xml:space="preserve">в значениях, определенных в трудовом законодательстве и иных нормативных правовых актах Российской Федерации, содержащих нормы трудового права, </w:t>
        <w:br/>
        <w:t xml:space="preserve">а также в областном законе.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:highlight w:val="none"/>
        </w:rPr>
        <w:t xml:space="preserve">5. Положение предусматривает директору учреждения следующие стимулирующие выплаты: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:highlight w:val="none"/>
        </w:rPr>
        <w:t xml:space="preserve">а) премиальные выплаты по итогам работы;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:highlight w:val="none"/>
        </w:rPr>
        <w:t xml:space="preserve">б) премиальные выплаты за выполнение особо важных (срочных) работ;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:highlight w:val="none"/>
        </w:rPr>
        <w:t xml:space="preserve">в) премиальные выплаты к значимым датам (событиям).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:highlight w:val="none"/>
        </w:rPr>
        <w:t xml:space="preserve">6. Виды и порядок установления стимулирующих выплат директору учреждения: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:highlight w:val="none"/>
        </w:rPr>
        <w:t xml:space="preserve">6.1. Премиальные выплаты по итогам работы устанавливаются директору учреждения ежемесячно, ежеквартально, за календарный год правовым актом Комитета на основании решения Председателя Комитета.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:highlight w:val="none"/>
        </w:rPr>
        <w:t xml:space="preserve">Р</w:t>
      </w:r>
      <w:r>
        <w:rPr>
          <w:sz w:val="28"/>
          <w:szCs w:val="28"/>
          <w:highlight w:val="none"/>
        </w:rPr>
        <w:t xml:space="preserve">азмер премиальных выплат руководителю Учреждения по итогам работы определяется на основе показателей эффективности и результативности деятельности и критериев оценки деятельности Учреждения и порядка определения размера премиальных выплат руководителю, уст</w:t>
      </w:r>
      <w:r>
        <w:rPr>
          <w:sz w:val="28"/>
          <w:szCs w:val="28"/>
          <w:highlight w:val="none"/>
        </w:rPr>
        <w:t xml:space="preserve">ановленных приложениями </w:t>
        <w:br/>
        <w:t xml:space="preserve">1 и 2 к настоящему положению.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:highlight w:val="none"/>
        </w:rPr>
        <w:t xml:space="preserve">Пр</w:t>
      </w:r>
      <w:r>
        <w:rPr>
          <w:sz w:val="28"/>
          <w:szCs w:val="28"/>
          <w:highlight w:val="none"/>
        </w:rPr>
        <w:t xml:space="preserve">емиальная выплата по итогам работы за месяц и премиальная выплата </w:t>
        <w:br/>
        <w:t xml:space="preserve">по итогам работы за квартал производятся в следующем за отчетным периодом месяце. Премиальная выплата по итогам работы за 4 квартал и премиальная выплата по итогам работы за год производятс</w:t>
      </w:r>
      <w:r>
        <w:rPr>
          <w:sz w:val="28"/>
          <w:szCs w:val="28"/>
          <w:highlight w:val="none"/>
        </w:rPr>
        <w:t xml:space="preserve">я в декабре отчетного года.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:highlight w:val="none"/>
        </w:rPr>
        <w:t xml:space="preserve">6.2. Премиальные выплаты за выполнение особо важных (срочных) работ устанавливаются директору учреждения по решению председателя Комитета.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:highlight w:val="none"/>
        </w:rPr>
        <w:t xml:space="preserve">Особо важные (срочные) работы для учреждения и его директора </w:t>
        <w:br/>
        <w:t xml:space="preserve">с установлением конкретных результатов и сроков их выполнения оформляются правовым актом Комитета.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:highlight w:val="none"/>
        </w:rPr>
        <w:t xml:space="preserve">Р</w:t>
      </w:r>
      <w:r>
        <w:rPr>
          <w:sz w:val="28"/>
          <w:szCs w:val="28"/>
          <w:highlight w:val="none"/>
        </w:rPr>
        <w:t xml:space="preserve">азмер премиальных выплат за выполнение особо важных (срочных) работ определяется по решению Председателя и выплачивается в пределах бюджетных ассигнований, предусмотренных учреждению на указанные выплаты, рассчитанные в соответствии с пунктом 4.18 Положени</w:t>
      </w:r>
      <w:r>
        <w:rPr>
          <w:sz w:val="28"/>
          <w:szCs w:val="28"/>
          <w:highlight w:val="none"/>
        </w:rPr>
        <w:t xml:space="preserve">я № 262.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:highlight w:val="none"/>
        </w:rPr>
        <w:t xml:space="preserve">6.</w:t>
      </w:r>
      <w:r>
        <w:rPr>
          <w:sz w:val="28"/>
          <w:szCs w:val="28"/>
          <w:highlight w:val="none"/>
        </w:rPr>
        <w:t xml:space="preserve">3. Премиальные выплаты к значимым датам (событиям) определяются </w:t>
        <w:br/>
        <w:t xml:space="preserve">с учетом профессиональных достижений директора учреждения по решению председателя Комитета и выплачиваются в пределах бюджетных ассигнований, предусмотренных учреждению на указанные выплаты, </w:t>
      </w:r>
      <w:r>
        <w:rPr>
          <w:sz w:val="28"/>
          <w:szCs w:val="28"/>
          <w:highlight w:val="none"/>
        </w:rPr>
        <w:t xml:space="preserve">рассчитанные в соответствии с пунктом 4.21 Положения № 262.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:highlight w:val="none"/>
        </w:rPr>
        <w:t xml:space="preserve">7. Материальная помощь директору учреждения выплачивается в пределах экономии по фонду оплаты труда учреждения по решению Председателя </w:t>
        <w:br/>
        <w:t xml:space="preserve">на основании личного заявления и правового акта Комитета.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:highlight w:val="none"/>
        </w:rPr>
        <w:t xml:space="preserve">Размер материальной помощи не может превышать 6 месячных должностных окладов в целом за календарный год.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:highlight w:val="none"/>
        </w:rPr>
        <w:t xml:space="preserve">Суммарный объем оказанной директору материальной помощи не может превышать 2 проц. фонда оплаты труда учреждения в целом за календарный год.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r>
        <w:rPr>
          <w:sz w:val="27"/>
          <w:szCs w:val="27"/>
          <w:highlight w:val="none"/>
        </w:rPr>
      </w:r>
      <w:r/>
    </w:p>
    <w:p>
      <w:pPr>
        <w:shd w:val="nil" w:color="auto"/>
        <w:rPr>
          <w:sz w:val="27"/>
          <w:szCs w:val="27"/>
          <w:highlight w:val="none"/>
        </w:rPr>
      </w:pPr>
      <w:r>
        <w:rPr>
          <w:sz w:val="27"/>
          <w:szCs w:val="27"/>
          <w:highlight w:val="none"/>
        </w:rPr>
        <w:br w:type="page" w:clear="all"/>
      </w: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</w:p>
    <w:p>
      <w:pPr>
        <w:jc w:val="right"/>
      </w:pPr>
      <w:r>
        <w:rPr>
          <w:sz w:val="27"/>
          <w:szCs w:val="27"/>
          <w:highlight w:val="none"/>
        </w:rPr>
        <w:t xml:space="preserve">Приложение 1</w:t>
      </w:r>
      <w:r/>
    </w:p>
    <w:p>
      <w:pPr>
        <w:jc w:val="right"/>
      </w:pPr>
      <w:r>
        <w:rPr>
          <w:sz w:val="27"/>
          <w:szCs w:val="27"/>
          <w:highlight w:val="none"/>
        </w:rPr>
        <w:t xml:space="preserve">к Положению о порядке установления</w:t>
      </w:r>
      <w:r/>
    </w:p>
    <w:p>
      <w:pPr>
        <w:jc w:val="right"/>
      </w:pPr>
      <w:r>
        <w:rPr>
          <w:sz w:val="27"/>
          <w:szCs w:val="27"/>
          <w:highlight w:val="none"/>
        </w:rPr>
        <w:t xml:space="preserve">стимулирующих выплат руководителю</w:t>
      </w:r>
      <w:r/>
    </w:p>
    <w:p>
      <w:pPr>
        <w:jc w:val="right"/>
      </w:pPr>
      <w:r>
        <w:rPr>
          <w:sz w:val="27"/>
          <w:szCs w:val="27"/>
          <w:highlight w:val="none"/>
        </w:rPr>
        <w:t xml:space="preserve">Ленинградского областного государственного</w:t>
      </w:r>
      <w:r/>
    </w:p>
    <w:p>
      <w:pPr>
        <w:jc w:val="right"/>
      </w:pPr>
      <w:r>
        <w:rPr>
          <w:sz w:val="27"/>
          <w:szCs w:val="27"/>
          <w:highlight w:val="none"/>
        </w:rPr>
        <w:t xml:space="preserve">казенного учреждения «Ленинградская</w:t>
      </w:r>
      <w:r/>
    </w:p>
    <w:p>
      <w:pPr>
        <w:jc w:val="right"/>
        <w:rPr>
          <w:sz w:val="27"/>
          <w:szCs w:val="27"/>
        </w:rPr>
      </w:pPr>
      <w:r>
        <w:rPr>
          <w:sz w:val="27"/>
          <w:szCs w:val="27"/>
          <w:highlight w:val="none"/>
        </w:rPr>
        <w:t xml:space="preserve">областная экологическая милиция»</w:t>
      </w:r>
      <w:r>
        <w:rPr>
          <w:sz w:val="27"/>
          <w:szCs w:val="27"/>
          <w:highlight w:val="none"/>
        </w:rPr>
      </w:r>
      <w:r>
        <w:rPr>
          <w:sz w:val="27"/>
          <w:szCs w:val="27"/>
        </w:rPr>
      </w:r>
    </w:p>
    <w:p>
      <w:pPr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jc w:val="center"/>
      </w:pPr>
      <w:r>
        <w:rPr>
          <w:sz w:val="27"/>
          <w:szCs w:val="27"/>
        </w:rPr>
        <w:t xml:space="preserve">ПЕРЕЧЕНЬ</w:t>
      </w:r>
      <w:r/>
    </w:p>
    <w:p>
      <w:pPr>
        <w:jc w:val="center"/>
      </w:pPr>
      <w:r>
        <w:rPr>
          <w:sz w:val="27"/>
          <w:szCs w:val="27"/>
        </w:rPr>
        <w:t xml:space="preserve">ПОКАЗАТЕЛЕЙ ЭФФЕКТИВНОСТИ И РЕЗУЛЬТАТИВНОСТИ ДЕЯТЕЛЬНОСТИ</w:t>
      </w:r>
      <w:r/>
    </w:p>
    <w:p>
      <w:pPr>
        <w:jc w:val="center"/>
      </w:pPr>
      <w:r>
        <w:rPr>
          <w:sz w:val="27"/>
          <w:szCs w:val="27"/>
        </w:rPr>
        <w:t xml:space="preserve">И КРИТЕРИЕВ ОЦЕНКИ ДЕЯТЕЛЬНОСТИ ЛЕНИНГРАДСКОГО</w:t>
      </w:r>
      <w:r/>
    </w:p>
    <w:p>
      <w:pPr>
        <w:jc w:val="center"/>
      </w:pPr>
      <w:r>
        <w:rPr>
          <w:sz w:val="27"/>
          <w:szCs w:val="27"/>
        </w:rPr>
        <w:t xml:space="preserve">ОБЛАСТНОГО ГОСУДАРСТВЕННОГО КАЗЕННОГО УЧРЕЖДЕНИЯ</w:t>
      </w:r>
      <w:r/>
    </w:p>
    <w:p>
      <w:pPr>
        <w:jc w:val="center"/>
        <w:rPr>
          <w:sz w:val="27"/>
          <w:szCs w:val="27"/>
        </w:rPr>
        <w:sectPr>
          <w:footnotePr/>
          <w:endnotePr/>
          <w:type w:val="nextPage"/>
          <w:pgSz w:w="11907" w:h="16840" w:orient="portrait"/>
          <w:pgMar w:top="1134" w:right="567" w:bottom="568" w:left="1134" w:header="709" w:footer="709" w:gutter="0"/>
          <w:cols w:num="1" w:sep="0" w:space="708" w:equalWidth="1"/>
          <w:docGrid w:linePitch="360"/>
        </w:sectPr>
      </w:pPr>
      <w:r>
        <w:rPr>
          <w:sz w:val="27"/>
          <w:szCs w:val="27"/>
        </w:rPr>
        <w:t xml:space="preserve">«ЛЕНИНГРАДСКАЯ ОБЛАСТНАЯ ЭКОЛОГИЧЕСКАЯ МИЛИЦИЯ»</w:t>
      </w:r>
      <w:r>
        <w:rPr>
          <w:sz w:val="27"/>
          <w:szCs w:val="27"/>
        </w:rPr>
      </w:r>
      <w:r>
        <w:rPr>
          <w:sz w:val="27"/>
          <w:szCs w:val="27"/>
        </w:rPr>
      </w:r>
    </w:p>
    <w:tbl>
      <w:tblPr>
        <w:tblW w:w="5000" w:type="pct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73"/>
        <w:gridCol w:w="2390"/>
        <w:gridCol w:w="1230"/>
        <w:gridCol w:w="1210"/>
        <w:gridCol w:w="1244"/>
        <w:gridCol w:w="11"/>
        <w:gridCol w:w="1233"/>
        <w:gridCol w:w="1422"/>
        <w:gridCol w:w="2502"/>
        <w:gridCol w:w="2367"/>
      </w:tblGrid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3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N п/п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0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Наименование показателя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0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Периодичность оценки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0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Удельный вес, %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12" w:type="dxa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Значения показателя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67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Формула расчета корректирующего коэффициента (К)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3" w:type="dxa"/>
            <w:vMerge w:val="continue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0" w:type="dxa"/>
            <w:vMerge w:val="continue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0" w:type="dxa"/>
            <w:vMerge w:val="continue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0" w:type="dxa"/>
            <w:vMerge w:val="continue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5" w:type="dxa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плановое значение (П)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3" w:type="dxa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плановое минимальное значение (Пmin)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2" w:type="dxa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фактическое значение (Ф)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2" w:type="dxa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правила определения фактического значения (Ф)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67" w:type="dxa"/>
            <w:vMerge w:val="continue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3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en-US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en-US"/>
              </w:rPr>
              <w:t xml:space="preserve">1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en-US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0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Исполнение средств областного бюджета Ленинградской области, федерального бюджета, иных бюджетов бюджетной системы РФ, прочих безвозмездных поступлений, предоставленных Ленинградской области 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br/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(за исключением расходов 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br/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на выплаты персоналу), а также средств федерального бюджета 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br/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и средств областного бюджета Ленинградской области, выделенных на реализацию региональных проектов (процентов, за отчетный период 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br/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с начала года)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0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Ежеквартально, год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0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bCs w:val="0"/>
                <w:i w:val="0"/>
                <w:strike w:val="0"/>
                <w:sz w:val="16"/>
                <w:szCs w:val="16"/>
                <w:lang w:val="ru-RU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1 квартал, </w:t>
            </w:r>
            <w:r>
              <w:rPr>
                <w:rFonts w:ascii="TimesNewRoman" w:hAnsi="TimesNewRoman" w:eastAsia="TimesNewRoman" w:cs="TimesNewRoman"/>
                <w:b w:val="0"/>
                <w:bCs w:val="0"/>
                <w:i w:val="0"/>
                <w:strike w:val="0"/>
                <w:sz w:val="16"/>
                <w:szCs w:val="16"/>
                <w:lang w:val="ru-RU"/>
              </w:rPr>
            </w:r>
            <w:r>
              <w:rPr>
                <w:rFonts w:ascii="TimesNewRoman" w:hAnsi="TimesNewRoman" w:eastAsia="TimesNewRoman" w:cs="TimesNewRoman"/>
                <w:b w:val="0"/>
                <w:bCs w:val="0"/>
                <w:i w:val="0"/>
                <w:strike w:val="0"/>
                <w:sz w:val="16"/>
                <w:szCs w:val="16"/>
                <w:lang w:val="ru-RU"/>
              </w:rPr>
            </w:r>
          </w:p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bCs w:val="0"/>
                <w:i w:val="0"/>
                <w:strike w:val="0"/>
                <w:sz w:val="16"/>
                <w:szCs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год - 30</w:t>
            </w:r>
            <w:r>
              <w:rPr>
                <w:rFonts w:ascii="TimesNewRoman" w:hAnsi="TimesNewRoman" w:eastAsia="TimesNewRoman" w:cs="TimesNewRoman"/>
                <w:b w:val="0"/>
                <w:bCs w:val="0"/>
                <w:i w:val="0"/>
                <w:strike w:val="0"/>
                <w:sz w:val="16"/>
                <w:szCs w:val="16"/>
              </w:rPr>
            </w:r>
            <w:r>
              <w:rPr>
                <w:rFonts w:ascii="TimesNewRoman" w:hAnsi="TimesNewRoman" w:eastAsia="TimesNewRoman" w:cs="TimesNewRoman"/>
                <w:b w:val="0"/>
                <w:bCs w:val="0"/>
                <w:i w:val="0"/>
                <w:strike w:val="0"/>
                <w:sz w:val="16"/>
                <w:szCs w:val="16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5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1 квартал - 20%;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1 полугодие - 45%;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9 месяцев - 70%;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год - 95%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3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1 квартал - 5%;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1 полугодие - 20%;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9 месяцев - 50%;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год - 70%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2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2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Ф = А : Б x 100%, где: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А - финансирование мероприятий государственных программ Ленинградской области за счет средств областного бюджета Ленинградской области </w:t>
              <w:br/>
              <w:t xml:space="preserve">(млн руб.);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Б - сумма доведенных учрежде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нию бюджетных ассигнований на реализацию мероприятий государственных программ Ленинградской области в соответствующем году за счет средств областного бюджета Ленинградской области (по состоянию на 1 число месяца, следующего за отчетным периодом) (млн руб.)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67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К = 0, если Ф &lt;= Пmin,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К = (Ф - Пmin) : (П - Пmin), если Пmin &lt; Ф &lt; П,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К = 1, если Ф &gt;= П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3" w:type="dxa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en-US"/>
              </w:rPr>
              <w:t xml:space="preserve">2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0" w:type="dxa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  <w:lang w:val="ru-RU"/>
              </w:rPr>
              <w:t xml:space="preserve">Исполнение Учреждением бюджетной сметы (кассового плана) (процентов, за отчетный период с начала года)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0" w:type="dxa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Ежемесячно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0" w:type="dxa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  <w:t xml:space="preserve">20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5" w:type="dxa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en-US"/>
              </w:rPr>
              <w:t xml:space="preserve">95%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3" w:type="dxa"/>
            <w:textDirection w:val="lrTb"/>
            <w:noWrap w:val="false"/>
          </w:tcPr>
          <w:p>
            <w:pPr>
              <w:pStyle w:val="871"/>
              <w:jc w:val="center"/>
              <w:spacing w:before="0" w:after="0" w:line="240" w:lineRule="auto"/>
              <w:rPr>
                <w:rFonts w:ascii="Arial" w:hAnsi="Arial" w:eastAsia="Arial" w:cs="Arial"/>
                <w:sz w:val="24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en-US"/>
              </w:rPr>
              <w:t xml:space="preserve">70%</w:t>
            </w:r>
            <w:r>
              <w:rPr>
                <w:rFonts w:ascii="Arial" w:hAnsi="Arial" w:eastAsia="Arial" w:cs="Arial"/>
                <w:sz w:val="24"/>
              </w:rPr>
            </w:r>
            <w:r>
              <w:rPr>
                <w:rFonts w:ascii="Arial" w:hAnsi="Arial" w:eastAsia="Arial" w:cs="Arial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2" w:type="dxa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yellow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yellow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yellow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2" w:type="dxa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  <w:lang w:val="ru-RU"/>
              </w:rPr>
              <w:t xml:space="preserve">Ф = А : Б x 100%, где: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</w:p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  <w:lang w:val="ru-RU"/>
              </w:rPr>
              <w:t xml:space="preserve">А - кассовые расходы за счет сред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  <w:lang w:val="ru-RU"/>
              </w:rPr>
              <w:t xml:space="preserve">ств областного бюджета Ленинградской области, а также по расходам, финансовое обеспечение которых предусмотрено за счет средств, предоставляемых Ленинградской области из федерального бюджета, без учета расходов на уплату государственной пошлины (млн руб.);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</w:p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  <w:lang w:val="ru-RU"/>
              </w:rPr>
              <w:t xml:space="preserve">Б - кассовые расходы, предусмотренные кассовым планом 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  <w:lang w:val="ru-RU"/>
              </w:rPr>
              <w:t xml:space="preserve">по состоянию на 1 число месяца, следующего за отчетным месяцем) (млн руб.)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67" w:type="dxa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К = 0, если Ф &lt;= Пmin,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К = (Ф - Пmin) : (П - Пmin), если Пmin &lt; Ф &lt; П,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К = 1, если Ф &gt;= П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3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  <w:t xml:space="preserve">3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0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Полнота, своевременность 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br/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и качество представляемых 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br/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в Комитет государственного экологического надзора Ленинградской области информации, документов, отчетности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0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Ежемесячно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0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en-US"/>
              </w:rPr>
              <w:t xml:space="preserve">15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5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3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2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2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Количество случаев неполного, несвоевременного или с ошибками представления в Комитет государственного экологического надзора Ленинградской области информации, документов, отчетности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67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К = 0, если Ф &gt; 1,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К = 0,5, если Ф = 1,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К= 1, если Ф = 0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3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  <w:t xml:space="preserve">4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0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  <w:lang w:val="ru-RU"/>
              </w:rPr>
              <w:t xml:space="preserve">Доля стоимости заключенных государственных контрактов 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  <w:lang w:val="ru-RU"/>
              </w:rPr>
              <w:br/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  <w:lang w:val="ru-RU"/>
              </w:rPr>
              <w:t xml:space="preserve">в совокупном годовом объеме бюджетных ассигнований, утвержденных на закупки Учреждению на отчетный финансовый год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0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  <w:lang w:val="ru-RU"/>
              </w:rPr>
              <w:t xml:space="preserve">Ежеквартально, год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0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  <w:lang w:val="ru-RU"/>
              </w:rPr>
              <w:t xml:space="preserve">1 квартал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  <w:lang w:val="ru-RU"/>
              </w:rPr>
              <w:t xml:space="preserve">,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</w:p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  <w:lang w:val="ru-RU"/>
              </w:rPr>
              <w:t xml:space="preserve">год - 10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5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  <w:lang w:val="ru-RU"/>
              </w:rPr>
              <w:t xml:space="preserve">1 квартал - 20%; 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</w:p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  <w:lang w:val="ru-RU"/>
              </w:rPr>
              <w:t xml:space="preserve">2 квартал - 45%;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</w:p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  <w:lang w:val="ru-RU"/>
              </w:rPr>
              <w:t xml:space="preserve">З квартал - 70%; 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</w:p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  <w:lang w:val="ru-RU"/>
              </w:rPr>
              <w:t xml:space="preserve">4 квартал - 95%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3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  <w:lang w:val="ru-RU"/>
              </w:rPr>
              <w:t xml:space="preserve">1 квартал - 15%; 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</w:p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  <w:lang w:val="ru-RU"/>
              </w:rPr>
              <w:t xml:space="preserve">2 квартал - 40%;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</w:p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  <w:lang w:val="ru-RU"/>
              </w:rPr>
              <w:t xml:space="preserve">З квартал - 65%; 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</w:p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  <w:lang w:val="ru-RU"/>
              </w:rPr>
              <w:t xml:space="preserve">4 квартал - 90%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2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2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  <w:lang w:val="ru-RU"/>
              </w:rPr>
              <w:t xml:space="preserve">Ф = А : Б x 100%, где: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</w:p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  <w:lang w:val="ru-RU"/>
              </w:rPr>
              <w:t xml:space="preserve">А – стоимость заключенных Учреждением государственных контрактов в отчетном периоде (млн. руб.);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</w:p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  <w:lang w:val="ru-RU"/>
              </w:rPr>
              <w:t xml:space="preserve">Б – совокупный годовой объем бюджетных ассигнований, утвержденных на закупку Учреждению в отчетном финансовом году (млн руб.)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67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  <w:lang w:val="ru-RU"/>
              </w:rPr>
              <w:t xml:space="preserve">К = 0, если Ф &lt;= Пmin,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</w:p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  <w:lang w:val="ru-RU"/>
              </w:rPr>
              <w:t xml:space="preserve">К = (Ф - Пmin) : (П - Пmin), если Пmin &lt; Ф &lt; П,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</w:p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  <w:lang w:val="ru-RU"/>
              </w:rPr>
              <w:t xml:space="preserve">К = 1, если Ф &gt;= П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</w:p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3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  <w:t xml:space="preserve">5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0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Доля возвращенных комитетом финансов Ленинградской области заявок на оплату расходов при осуществлении процедуры санкционирования расходов за счет средств областного бюджета 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br/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(в процентах), электронных документов «Договор» 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br/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и «Денежное обязательство» 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br/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при осуществлении процедуры регистрации бюджетных обязательств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0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Ежеквартально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0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en-US"/>
              </w:rPr>
              <w:t xml:space="preserve">10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5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3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2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2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Отношение количества возвращенных заявок, электронных документов «Договор» и «Денежное обязательство» (кроме случаев отказа одобрения по причине 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br/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«По просьбе плательщика», 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br/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по техническим причинам, 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br/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не зависящим от Учреждения) 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br/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к общему количеству представленных в комитет финансов заявок на оплату расходов и электронных документов «Договор» 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br/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и «Денежное обязательство» 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67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К = 0, если Ф &gt;= 5%,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К= 1, если Ф &lt; 5%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3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  <w:t xml:space="preserve">6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0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Соблюдение в отчетном периоде требований действующего законодательства в деятельности Учреждения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0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  <w:lang w:val="ru-RU"/>
              </w:rPr>
              <w:t xml:space="preserve">Ежеквартально, 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  <w:lang w:val="ru-RU"/>
              </w:rPr>
              <w:t xml:space="preserve">год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0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  <w:lang w:val="ru-RU"/>
              </w:rPr>
              <w:t xml:space="preserve">1 квартал - 10, год - 20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5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3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2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2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Количество выявленных  подтвержденных в установленном порядке случаев несоблюдения действующего законодательства 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br/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в деятельности Учреждения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67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К = 0, если Ф &gt; 1,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К = 0,5, если Ф = 1,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К = 1, если Ф = 0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3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  <w:t xml:space="preserve">7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0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Соблюдение в отчетном периоде исполнительской дисциплины (дисциплины труда)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0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Ежемесячно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0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en-US"/>
              </w:rPr>
              <w:t xml:space="preserve">15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2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2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Количество случаев несоблюдения исполнительской дисциплины (дисциплины труда)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67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К = 0, если Ф &gt; 1,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К = 0,5, если Ф = 1,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К = 1, если Ф = 0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3" w:type="dxa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  <w:t xml:space="preserve">8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0" w:type="dxa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Доля исполненных 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br/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в установленный срок заданий Комитета по проведению обследования территорий 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br/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на предмет пресечения, выявления нарушений природоохранного законодательства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0" w:type="dxa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Ежемесячно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0" w:type="dxa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en-US"/>
              </w:rPr>
              <w:t xml:space="preserve">15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100% от выданных Комитетом 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br/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за отчетный период заданий 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br/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(с учетом сроков проведения обследований)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95% от выданных Комитетом за отчетный период заданий (с учетом сроков проведения обследований)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2" w:type="dxa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2" w:type="dxa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Доля исполненных 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br/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в установленный срок заданий Комитета по проведению обследования территорий 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br/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на предмет пресечения, выявления нарушений природоохранного законодательства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67" w:type="dxa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К = 0, если Ф &lt; Пmin,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К = (Ф - Пmin) : (П - Пmin), если Пmin &lt;= Ф &lt; П,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К = 1, если Ф = П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3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  <w:t xml:space="preserve">9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0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Полнота или своевременность предоставления в отчетном периоде отчетов, подготовки информационных </w:t>
              <w:br/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и аналитических материалов (для размещения в системе «Электронный бюджет») </w:t>
              <w:br/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и других сведений и качество предоставляемых материалов (сведений)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0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Ежеквартально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0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en-US"/>
              </w:rPr>
              <w:t xml:space="preserve">10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4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2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2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Наличие случаев неполного </w:t>
              <w:br/>
              <w:t xml:space="preserve">или несвоевременного предоставления отчетов, смет, информационных </w:t>
              <w:br/>
              <w:t xml:space="preserve">и аналитических материалов, других сведений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67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К = 0, если Ф &gt; 0,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К = 1, если Ф = 0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3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en-US"/>
              </w:rPr>
              <w:t xml:space="preserve">10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0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Обеспечение в отчетном периоде информационной открытости Учреждения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0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Ежемесячно, ежеквартально, год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0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1 месяц - 15, 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br/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1 квартал, год - 10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5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3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2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2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Обеспечение размещения информации об Учреждении 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br/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на официальном сайте 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br/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в информационно- телекоммуникационной сети «Интернет и на сайте bus.gov.ru, 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br/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а также ее своевременная актуализация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67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К = 0, если Ф &gt; 1,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К = 1, если Ф = 0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3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en-US"/>
              </w:rPr>
              <w:t xml:space="preserve">11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0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Нарушения, выявленные в ходе проверок, завершенных 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br/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в отчетном периоде, 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br/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по соблюдению требований законодательства Российской Федерации, отраженные в акте проверки (предписании, представлении) уполномоченного органа (группа однотипных нарушений в целях расчета показателя учитывается как одно нарушение)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0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Ежеквартально, год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0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1 квартал, 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br/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1 полугодие, 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br/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9 месяцев,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год - 10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5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3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2" w:type="dxa"/>
            <w:vMerge w:val="restart"/>
            <w:textDirection w:val="lrTb"/>
            <w:noWrap w:val="false"/>
          </w:tcPr>
          <w:p>
            <w:pPr>
              <w:jc w:val="left"/>
              <w:spacing w:before="0" w:after="0" w:line="240" w:lineRule="auto"/>
              <w:rPr>
                <w:rFonts w:ascii="Arial" w:hAnsi="Arial" w:eastAsia="Arial" w:cs="Arial"/>
                <w:sz w:val="24"/>
              </w:rPr>
            </w:pPr>
            <w:r>
              <w:rPr>
                <w:rFonts w:ascii="Arial" w:hAnsi="Arial" w:eastAsia="Arial" w:cs="Arial"/>
                <w:sz w:val="24"/>
              </w:rPr>
            </w:r>
            <w:r>
              <w:rPr>
                <w:rFonts w:ascii="Arial" w:hAnsi="Arial" w:eastAsia="Arial" w:cs="Arial"/>
                <w:sz w:val="24"/>
              </w:rPr>
            </w:r>
            <w:r>
              <w:rPr>
                <w:rFonts w:ascii="Arial" w:hAnsi="Arial" w:eastAsia="Arial" w:cs="Arial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2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Наличие нарушений, выявленных в ходе проверок, завершенных </w:t>
              <w:br/>
              <w:t xml:space="preserve">в отчетном периоде, </w:t>
              <w:br/>
              <w:t xml:space="preserve">по соблюдению требований законодательства Российской Федерации, отраженные в акте проверки (предписании, представлении) уполномоченного органа 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67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К = 0, если Ф &gt; 1,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К = 1, если Ф = 0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3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en-US"/>
              </w:rPr>
              <w:t xml:space="preserve">12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0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Количество и качество заключений по результатам лабораторных исследований, геодезических отчетов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0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Ежеквартально, год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0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1 квартал, 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br/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1 полугодие, 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br/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9 месяцев,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год - 10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5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3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2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2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bCs w:val="0"/>
                <w:i w:val="0"/>
                <w:strike w:val="0"/>
                <w:sz w:val="16"/>
                <w:szCs w:val="16"/>
                <w:highlight w:val="yellow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none"/>
                <w:lang w:val="ru-RU"/>
              </w:rPr>
              <w:t xml:space="preserve">Наличие выявленных недостатков, вызванных</w:t>
            </w:r>
            <w:r>
              <w:rPr>
                <w:rFonts w:ascii="TimesNewRoman" w:hAnsi="TimesNewRoman" w:eastAsia="TimesNewRoman" w:cs="TimesNewRoman"/>
                <w:b w:val="0"/>
                <w:bCs w:val="0"/>
                <w:i w:val="0"/>
                <w:strike w:val="0"/>
                <w:sz w:val="16"/>
                <w:szCs w:val="16"/>
                <w:highlight w:val="yellow"/>
              </w:rPr>
            </w:r>
            <w:r>
              <w:rPr>
                <w:rFonts w:ascii="TimesNewRoman" w:hAnsi="TimesNewRoman" w:eastAsia="TimesNewRoman" w:cs="TimesNewRoman"/>
                <w:b w:val="0"/>
                <w:bCs w:val="0"/>
                <w:i w:val="0"/>
                <w:strike w:val="0"/>
                <w:sz w:val="16"/>
                <w:szCs w:val="16"/>
                <w:highlight w:val="yellow"/>
              </w:rPr>
            </w:r>
          </w:p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bCs w:val="0"/>
                <w:i w:val="0"/>
                <w:strike w:val="0"/>
                <w:sz w:val="16"/>
                <w:szCs w:val="16"/>
                <w:highlight w:val="none"/>
                <w:lang w:val="ru-RU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нарушением процедуры (методики) отбора проб (образцов), проведения лабораторных исследований, экспертиз и геодезических (маркшейдерских) работ</w:t>
            </w:r>
            <w:r>
              <w:rPr>
                <w:rFonts w:ascii="TimesNewRoman" w:hAnsi="TimesNewRoman" w:eastAsia="TimesNewRoman" w:cs="TimesNewRoman"/>
                <w:b w:val="0"/>
                <w:bCs w:val="0"/>
                <w:i w:val="0"/>
                <w:strike w:val="0"/>
                <w:sz w:val="16"/>
                <w:szCs w:val="16"/>
                <w:highlight w:val="none"/>
                <w:lang w:val="ru-RU"/>
              </w:rPr>
            </w:r>
            <w:r>
              <w:rPr>
                <w:rFonts w:ascii="TimesNewRoman" w:hAnsi="TimesNewRoman" w:eastAsia="TimesNewRoman" w:cs="TimesNewRoman"/>
                <w:b w:val="0"/>
                <w:bCs w:val="0"/>
                <w:i w:val="0"/>
                <w:strike w:val="0"/>
                <w:sz w:val="16"/>
                <w:szCs w:val="16"/>
                <w:highlight w:val="non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67" w:type="dxa"/>
            <w:vMerge w:val="restart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К = 0, если Ф &gt; 0,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К = 1, если Ф = 0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3" w:type="dxa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en-US"/>
              </w:rPr>
              <w:t xml:space="preserve">13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0" w:type="dxa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Полнота и своевременность исполнения поручений председателя Комитета государственного экологического надзора Ленинградской области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0" w:type="dxa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Ежемесячно, год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0" w:type="dxa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bCs w:val="0"/>
                <w:i w:val="0"/>
                <w:strike w:val="0"/>
                <w:sz w:val="16"/>
                <w:szCs w:val="16"/>
                <w:highlight w:val="none"/>
                <w:lang w:val="en-US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en-US"/>
              </w:rPr>
              <w:t xml:space="preserve">1 месяц - 20;</w:t>
            </w:r>
            <w:r>
              <w:rPr>
                <w:rFonts w:ascii="TimesNewRoman" w:hAnsi="TimesNewRoman" w:eastAsia="TimesNewRoman" w:cs="TimesNewRoman"/>
                <w:b w:val="0"/>
                <w:bCs w:val="0"/>
                <w:i w:val="0"/>
                <w:strike w:val="0"/>
                <w:sz w:val="16"/>
                <w:szCs w:val="16"/>
                <w:highlight w:val="none"/>
                <w:lang w:val="en-US"/>
              </w:rPr>
            </w:r>
            <w:r>
              <w:rPr>
                <w:rFonts w:ascii="TimesNewRoman" w:hAnsi="TimesNewRoman" w:eastAsia="TimesNewRoman" w:cs="TimesNewRoman"/>
                <w:b w:val="0"/>
                <w:bCs w:val="0"/>
                <w:i w:val="0"/>
                <w:strike w:val="0"/>
                <w:sz w:val="16"/>
                <w:szCs w:val="16"/>
                <w:highlight w:val="none"/>
                <w:lang w:val="en-US"/>
              </w:rPr>
            </w:r>
          </w:p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bCs w:val="0"/>
                <w:i w:val="0"/>
                <w:strike w:val="0"/>
                <w:sz w:val="16"/>
                <w:szCs w:val="16"/>
                <w:lang w:val="en-US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highlight w:val="none"/>
                <w:lang w:val="en-US"/>
              </w:rPr>
              <w:t xml:space="preserve">год - 10</w:t>
            </w:r>
            <w:r>
              <w:rPr>
                <w:rFonts w:ascii="TimesNewRoman" w:hAnsi="TimesNewRoman" w:eastAsia="TimesNewRoman" w:cs="TimesNewRoman"/>
                <w:b w:val="0"/>
                <w:bCs w:val="0"/>
                <w:i w:val="0"/>
                <w:strike w:val="0"/>
                <w:sz w:val="16"/>
                <w:szCs w:val="16"/>
                <w:lang w:val="en-US"/>
              </w:rPr>
            </w:r>
            <w:r>
              <w:rPr>
                <w:rFonts w:ascii="TimesNewRoman" w:hAnsi="TimesNewRoman" w:eastAsia="TimesNewRoman" w:cs="TimesNewRoman"/>
                <w:b w:val="0"/>
                <w:bCs w:val="0"/>
                <w:i w:val="0"/>
                <w:strike w:val="0"/>
                <w:sz w:val="16"/>
                <w:szCs w:val="16"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5" w:type="dxa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3" w:type="dxa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2" w:type="dxa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2" w:type="dxa"/>
            <w:textDirection w:val="lrTb"/>
            <w:noWrap w:val="false"/>
          </w:tcPr>
          <w:p>
            <w:pPr>
              <w:pStyle w:val="899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Количество случаев неполного или несвоевременного исполнения поручений председателя Комитета государственного экологического надзора Ленинградской области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67" w:type="dxa"/>
            <w:textDirection w:val="lrTb"/>
            <w:noWrap w:val="false"/>
          </w:tcPr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К = 0, если Ф &gt; 1,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К = 0,5, если Ф = 1,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  <w:p>
            <w:pPr>
              <w:pStyle w:val="899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  <w:lang w:val="ru-RU"/>
              </w:rPr>
              <w:t xml:space="preserve">К = 1, если Ф = 0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sz w:val="16"/>
              </w:rPr>
            </w:r>
          </w:p>
        </w:tc>
      </w:tr>
    </w:tbl>
    <w:p>
      <w:pPr>
        <w:jc w:val="center"/>
        <w:rPr>
          <w:sz w:val="27"/>
          <w:szCs w:val="27"/>
        </w:rPr>
        <w:sectPr>
          <w:footnotePr/>
          <w:endnotePr/>
          <w:type w:val="nextPage"/>
          <w:pgSz w:w="16840" w:h="11907" w:orient="landscape"/>
          <w:pgMar w:top="1134" w:right="1134" w:bottom="567" w:left="568" w:header="709" w:footer="709" w:gutter="0"/>
          <w:cols w:num="1" w:sep="0" w:space="708" w:equalWidth="1"/>
          <w:docGrid w:linePitch="360"/>
        </w:sect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712"/>
        <w:ind w:left="0" w:right="0" w:firstLine="709"/>
        <w:jc w:val="right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Приложение 2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right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к Положению о порядке установления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right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стимулирующих выплат руководителю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right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Ленинградского областного государственного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right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казенного учреждения «Ленинградская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right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областная экологическая милиция»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center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ПОРЯДОК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center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ОПРЕДЕЛЕНИЯ РАЗМЕРА ПРЕМИАЛЬНЫХ ВЫПЛАТ РУКОВОДИТЕЛЮ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center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ЛЕНИНГРАДСКОГО ОБЛАСТНОГО </w:t>
      </w:r>
      <w:r>
        <w:rPr>
          <w:sz w:val="28"/>
          <w:szCs w:val="28"/>
        </w:rPr>
        <w:t xml:space="preserve">ГОСУДАРСТВЕННОГО КАЗЕННОГО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center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УЧРЕЖДЕНИЯ «ЛЕНИНГРАДСКАЯ ОБЛАСТНАЯ ЭКОЛОГИЧЕСКАЯ МИЛИЦИЯ»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. Сектор финансово-экономического обеспечения Комитета на основе представленных Учреждением сведений о достигнутых за отчетный период значениях показателей эффективности и результативности деятельности Учреждения и сведений, полученных из других источников</w:t>
      </w:r>
      <w:r>
        <w:rPr>
          <w:sz w:val="28"/>
          <w:szCs w:val="28"/>
        </w:rPr>
        <w:t xml:space="preserve">, производит расчет размера премиальных выплат по итогам работы за отчетный период руководителю Учреждения по формуле: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ПВ - размер премиальных выплат по итогам работы за отчетный период;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ДО - размер должностного оклада руководителя Учреждения;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К</w:t>
      </w:r>
      <w:r>
        <w:rPr>
          <w:sz w:val="28"/>
          <w:szCs w:val="28"/>
          <w:vertAlign w:val="subscript"/>
        </w:rPr>
        <w:t xml:space="preserve">i</w:t>
      </w:r>
      <w:r>
        <w:rPr>
          <w:sz w:val="28"/>
          <w:szCs w:val="28"/>
        </w:rPr>
        <w:t xml:space="preserve"> мес - корректирующий коэффициент, определяемый в соответствии </w:t>
        <w:br/>
        <w:t xml:space="preserve">с Перечнем показателей эффективности и результативности деятельности </w:t>
        <w:br/>
        <w:t xml:space="preserve">и критериев оценки деятельности Учреждения, периодичность оценки которых соответствует значению «Ежемесячно»;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К</w:t>
      </w:r>
      <w:r>
        <w:rPr>
          <w:sz w:val="28"/>
          <w:szCs w:val="28"/>
          <w:vertAlign w:val="subscript"/>
        </w:rPr>
        <w:t xml:space="preserve">i</w:t>
      </w:r>
      <w:r>
        <w:rPr>
          <w:sz w:val="28"/>
          <w:szCs w:val="28"/>
        </w:rPr>
        <w:t xml:space="preserve"> кв - корректирующий коэффициент, определяемый в соответствии </w:t>
        <w:br/>
        <w:t xml:space="preserve">с Перечнем показателей эффективности и результативности деятельности </w:t>
        <w:br/>
        <w:t xml:space="preserve">и критериев оценки деятельности Учреждения, периодичность оценки которых соответствует значению «Ежеквартально»;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d</w:t>
      </w:r>
      <w:r>
        <w:rPr>
          <w:sz w:val="28"/>
          <w:szCs w:val="28"/>
          <w:vertAlign w:val="subscript"/>
        </w:rPr>
        <w:t xml:space="preserve">i</w:t>
      </w:r>
      <w:r>
        <w:rPr>
          <w:sz w:val="28"/>
          <w:szCs w:val="28"/>
        </w:rPr>
        <w:t xml:space="preserve"> - вес i-го показателя эффективности и результативности деятельности Учреждения, определяемый в соответствии с Перечнем показателей эффективности и результативности деятельности и критериев оценки деятельности Учреждения (процентов).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Сведения о достигнутых за отчетный период значениях показателей эффективности и результативности деятельности (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пункты 1 - 11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показателей эффективности и результативности деятельности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критериев оценки деятельности Ленинградского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областного государственного казенного учреждения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«Л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енинградская областная экологическая милиция») </w:t>
      </w:r>
      <w:r>
        <w:rPr>
          <w:sz w:val="28"/>
          <w:szCs w:val="28"/>
        </w:rPr>
        <w:t xml:space="preserve">Учреждение представляет </w:t>
        <w:br/>
        <w:t xml:space="preserve">в </w:t>
      </w:r>
      <w:r>
        <w:rPr>
          <w:sz w:val="28"/>
          <w:szCs w:val="28"/>
        </w:rPr>
        <w:t xml:space="preserve">Сектор финансово-экономического обеспечения Комитета </w:t>
      </w:r>
      <w:r>
        <w:rPr>
          <w:sz w:val="28"/>
          <w:szCs w:val="28"/>
        </w:rPr>
        <w:t xml:space="preserve">ежемесячно, ежеквартально и по итогам года в срок не позднее трех рабочих дней месяца, следующего за отчетным периодом,</w:t>
      </w:r>
      <w:r>
        <w:rPr>
          <w:sz w:val="28"/>
          <w:szCs w:val="28"/>
        </w:rPr>
        <w:t xml:space="preserve"> по следующей форме:</w:t>
      </w:r>
      <w:r>
        <w:rPr>
          <w:sz w:val="28"/>
          <w:szCs w:val="28"/>
        </w:rPr>
      </w:r>
      <w:r>
        <w:rPr>
          <w:sz w:val="28"/>
          <w:szCs w:val="28"/>
          <w:highlight w:val="none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871"/>
        <w:jc w:val="left"/>
        <w:spacing w:before="0" w:after="0" w:line="240" w:lineRule="auto"/>
        <w:shd w:val="clear" w:color="000000"/>
        <w:rPr>
          <w:rFonts w:ascii="Arial" w:hAnsi="Arial" w:eastAsia="Arial" w:cs="Arial"/>
          <w:sz w:val="24"/>
        </w:rPr>
      </w:pPr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sz w:val="24"/>
        </w:rPr>
      </w:r>
    </w:p>
    <w:p>
      <w:pPr>
        <w:pStyle w:val="712"/>
        <w:jc w:val="center"/>
        <w:spacing w:before="0" w:after="0" w:line="240" w:lineRule="auto"/>
        <w:rPr>
          <w:rFonts w:ascii="TimesNewRoman" w:hAnsi="TimesNewRoman" w:eastAsia="TimesNewRoman" w:cs="TimesNewRoman"/>
          <w:sz w:val="28"/>
        </w:rPr>
      </w:pPr>
      <w:r>
        <w:rPr>
          <w:rFonts w:ascii="TimesNewRoman" w:hAnsi="TimesNewRoman" w:eastAsia="TimesNewRoman" w:cs="TimesNewRoman"/>
          <w:sz w:val="28"/>
          <w:lang w:val="ru-RU"/>
        </w:rPr>
        <w:t xml:space="preserve">Отчет</w:t>
      </w:r>
      <w:r>
        <w:rPr>
          <w:rFonts w:ascii="TimesNewRoman" w:hAnsi="TimesNewRoman" w:eastAsia="TimesNewRoman" w:cs="TimesNewRoman"/>
          <w:sz w:val="28"/>
        </w:rPr>
      </w:r>
      <w:r>
        <w:rPr>
          <w:rFonts w:ascii="TimesNewRoman" w:hAnsi="TimesNewRoman" w:eastAsia="TimesNewRoman" w:cs="TimesNewRoman"/>
          <w:sz w:val="28"/>
        </w:rPr>
      </w:r>
    </w:p>
    <w:p>
      <w:pPr>
        <w:jc w:val="center"/>
        <w:rPr>
          <w:sz w:val="27"/>
          <w:szCs w:val="27"/>
        </w:rPr>
      </w:pPr>
      <w:r>
        <w:rPr>
          <w:rFonts w:ascii="TimesNewRoman" w:hAnsi="TimesNewRoman" w:eastAsia="TimesNewRoman" w:cs="TimesNewRoman"/>
          <w:sz w:val="28"/>
          <w:lang w:val="ru-RU"/>
        </w:rPr>
        <w:t xml:space="preserve">о достижении </w:t>
      </w:r>
      <w:r>
        <w:rPr>
          <w:sz w:val="27"/>
          <w:szCs w:val="27"/>
        </w:rPr>
        <w:t xml:space="preserve">показателей эффективности и результативности деятельности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Ленинградского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областного государственного казенного учреждения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712"/>
        <w:jc w:val="center"/>
        <w:spacing w:before="0" w:after="0" w:line="240" w:lineRule="auto"/>
        <w:rPr>
          <w:rFonts w:ascii="TimesNewRoman" w:hAnsi="TimesNewRoman" w:eastAsia="TimesNewRoman" w:cs="TimesNewRoman"/>
          <w:sz w:val="28"/>
          <w:szCs w:val="28"/>
        </w:rPr>
      </w:pPr>
      <w:r>
        <w:rPr>
          <w:sz w:val="27"/>
          <w:szCs w:val="27"/>
        </w:rPr>
        <w:t xml:space="preserve">«Ленинградская областная экологическая милиция»</w:t>
      </w:r>
      <w:r>
        <w:rPr>
          <w:rFonts w:ascii="TimesNewRoman" w:hAnsi="TimesNewRoman" w:eastAsia="TimesNewRoman" w:cs="TimesNewRoman"/>
          <w:sz w:val="28"/>
        </w:rPr>
      </w:r>
      <w:r>
        <w:rPr>
          <w:rFonts w:ascii="TimesNewRoman" w:hAnsi="TimesNewRoman" w:eastAsia="TimesNewRoman" w:cs="TimesNewRoman"/>
          <w:sz w:val="28"/>
          <w:szCs w:val="28"/>
        </w:rPr>
      </w:r>
    </w:p>
    <w:p>
      <w:pPr>
        <w:pStyle w:val="712"/>
        <w:jc w:val="center"/>
        <w:spacing w:before="0" w:after="0" w:line="240" w:lineRule="auto"/>
        <w:rPr>
          <w:rFonts w:ascii="TimesNewRoman" w:hAnsi="TimesNewRoman" w:eastAsia="TimesNewRoman" w:cs="TimesNewRoman"/>
          <w:sz w:val="28"/>
        </w:rPr>
      </w:pPr>
      <w:r>
        <w:rPr>
          <w:rFonts w:ascii="TimesNewRoman" w:hAnsi="TimesNewRoman" w:eastAsia="TimesNewRoman" w:cs="TimesNewRoman"/>
          <w:sz w:val="28"/>
          <w:lang w:val="ru-RU"/>
        </w:rPr>
        <w:t xml:space="preserve">за ___________________ 20__ года</w:t>
      </w:r>
      <w:r>
        <w:rPr>
          <w:rFonts w:ascii="TimesNewRoman" w:hAnsi="TimesNewRoman" w:eastAsia="TimesNewRoman" w:cs="TimesNewRoman"/>
          <w:sz w:val="28"/>
        </w:rPr>
      </w:r>
      <w:r>
        <w:rPr>
          <w:rFonts w:ascii="TimesNewRoman" w:hAnsi="TimesNewRoman" w:eastAsia="TimesNewRoman" w:cs="TimesNewRoman"/>
          <w:sz w:val="28"/>
        </w:rPr>
      </w:r>
    </w:p>
    <w:p>
      <w:pPr>
        <w:pStyle w:val="712"/>
        <w:jc w:val="left"/>
        <w:spacing w:before="0" w:after="0" w:line="240" w:lineRule="auto"/>
        <w:rPr>
          <w:rFonts w:ascii="TimesNewRoman" w:hAnsi="TimesNewRoman" w:eastAsia="TimesNewRoman" w:cs="TimesNewRoman"/>
          <w:sz w:val="28"/>
        </w:rPr>
      </w:pPr>
      <w:r>
        <w:rPr>
          <w:rFonts w:ascii="TimesNewRoman" w:hAnsi="TimesNewRoman" w:eastAsia="TimesNewRoman" w:cs="TimesNewRoman"/>
          <w:sz w:val="28"/>
          <w:lang w:val="ru-RU"/>
        </w:rPr>
        <w:t xml:space="preserve">                                                  (месяц/квартал/год)</w:t>
      </w:r>
      <w:r>
        <w:rPr>
          <w:rFonts w:ascii="TimesNewRoman" w:hAnsi="TimesNewRoman" w:eastAsia="TimesNewRoman" w:cs="TimesNewRoman"/>
          <w:sz w:val="28"/>
        </w:rPr>
      </w:r>
      <w:r>
        <w:rPr>
          <w:rFonts w:ascii="TimesNewRoman" w:hAnsi="TimesNewRoman" w:eastAsia="TimesNewRoman" w:cs="TimesNewRoman"/>
          <w:sz w:val="28"/>
        </w:rPr>
      </w:r>
    </w:p>
    <w:p>
      <w:pPr>
        <w:pStyle w:val="712"/>
        <w:jc w:val="left"/>
        <w:spacing w:before="0" w:after="0" w:line="240" w:lineRule="auto"/>
        <w:rPr>
          <w:rFonts w:ascii="TimesNewRoman" w:hAnsi="TimesNewRoman" w:eastAsia="TimesNewRoman" w:cs="TimesNewRoman"/>
          <w:sz w:val="28"/>
        </w:rPr>
      </w:pPr>
      <w:r>
        <w:rPr>
          <w:rFonts w:ascii="TimesNewRoman" w:hAnsi="TimesNewRoman" w:eastAsia="TimesNewRoman" w:cs="TimesNewRoman"/>
          <w:sz w:val="28"/>
        </w:rPr>
      </w:r>
      <w:r>
        <w:rPr>
          <w:rFonts w:ascii="TimesNewRoman" w:hAnsi="TimesNewRoman" w:eastAsia="TimesNewRoman" w:cs="TimesNewRoman"/>
          <w:sz w:val="28"/>
        </w:rPr>
      </w:r>
      <w:r>
        <w:rPr>
          <w:rFonts w:ascii="TimesNewRoman" w:hAnsi="TimesNewRoman" w:eastAsia="TimesNewRoman" w:cs="TimesNewRoman"/>
          <w:sz w:val="28"/>
        </w:rPr>
      </w:r>
    </w:p>
    <w:tbl>
      <w:tblPr>
        <w:tblW w:w="0" w:type="auto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2"/>
        <w:gridCol w:w="2835"/>
        <w:gridCol w:w="2835"/>
        <w:gridCol w:w="2276"/>
        <w:gridCol w:w="208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" w:type="dxa"/>
            <w:textDirection w:val="lrTb"/>
            <w:noWrap w:val="false"/>
          </w:tcPr>
          <w:p>
            <w:pPr>
              <w:pStyle w:val="712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sz w:val="28"/>
              </w:rPr>
            </w:pPr>
            <w:r>
              <w:rPr>
                <w:rFonts w:ascii="TimesNewRoman" w:hAnsi="TimesNewRoman" w:eastAsia="TimesNewRoman" w:cs="TimesNewRoman"/>
                <w:sz w:val="28"/>
                <w:lang w:val="en-US"/>
              </w:rPr>
              <w:t xml:space="preserve">№</w:t>
            </w:r>
            <w:r>
              <w:rPr>
                <w:rFonts w:ascii="TimesNewRoman" w:hAnsi="TimesNewRoman" w:eastAsia="TimesNewRoman" w:cs="TimesNewRoman"/>
                <w:sz w:val="28"/>
              </w:rPr>
            </w:r>
            <w:r>
              <w:rPr>
                <w:rFonts w:ascii="TimesNewRoman" w:hAnsi="TimesNewRoman" w:eastAsia="TimesNewRoman" w:cs="TimesNewRoman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712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sz w:val="28"/>
              </w:rPr>
            </w:pPr>
            <w:r>
              <w:rPr>
                <w:rFonts w:ascii="TimesNewRoman" w:hAnsi="TimesNewRoman" w:eastAsia="TimesNewRoman" w:cs="TimesNewRoman"/>
                <w:sz w:val="28"/>
                <w:lang w:val="ru-RU"/>
              </w:rPr>
              <w:t xml:space="preserve">Показатели эффективности </w:t>
            </w:r>
            <w:r>
              <w:rPr>
                <w:rFonts w:ascii="TimesNewRoman" w:hAnsi="TimesNewRoman" w:eastAsia="TimesNewRoman" w:cs="TimesNewRoman"/>
                <w:sz w:val="28"/>
              </w:rPr>
            </w:r>
            <w:r>
              <w:rPr>
                <w:rFonts w:ascii="TimesNewRoman" w:hAnsi="TimesNewRoman" w:eastAsia="TimesNewRoman" w:cs="TimesNewRoman"/>
                <w:sz w:val="28"/>
              </w:rPr>
            </w:r>
          </w:p>
          <w:p>
            <w:pPr>
              <w:pStyle w:val="712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sz w:val="28"/>
              </w:rPr>
            </w:pPr>
            <w:r>
              <w:rPr>
                <w:rFonts w:ascii="TimesNewRoman" w:hAnsi="TimesNewRoman" w:eastAsia="TimesNewRoman" w:cs="TimesNewRoman"/>
                <w:sz w:val="28"/>
                <w:lang w:val="ru-RU"/>
              </w:rPr>
              <w:t xml:space="preserve">и результативности деятельности</w:t>
            </w:r>
            <w:r>
              <w:rPr>
                <w:rFonts w:ascii="TimesNewRoman" w:hAnsi="TimesNewRoman" w:eastAsia="TimesNewRoman" w:cs="TimesNewRoman"/>
                <w:sz w:val="28"/>
              </w:rPr>
            </w:r>
            <w:r>
              <w:rPr>
                <w:rFonts w:ascii="TimesNewRoman" w:hAnsi="TimesNewRoman" w:eastAsia="TimesNewRoman" w:cs="TimesNewRoman"/>
                <w:sz w:val="28"/>
              </w:rPr>
            </w:r>
          </w:p>
          <w:p>
            <w:pPr>
              <w:pStyle w:val="712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sz w:val="28"/>
              </w:rPr>
            </w:pPr>
            <w:r>
              <w:rPr>
                <w:rFonts w:ascii="TimesNewRoman" w:hAnsi="TimesNewRoman" w:eastAsia="TimesNewRoman" w:cs="TimesNewRoman"/>
                <w:sz w:val="28"/>
              </w:rPr>
            </w:r>
            <w:r>
              <w:rPr>
                <w:rFonts w:ascii="TimesNewRoman" w:hAnsi="TimesNewRoman" w:eastAsia="TimesNewRoman" w:cs="TimesNewRoman"/>
                <w:sz w:val="28"/>
              </w:rPr>
            </w:r>
            <w:r>
              <w:rPr>
                <w:rFonts w:ascii="TimesNewRoman" w:hAnsi="TimesNewRoman" w:eastAsia="TimesNewRoman" w:cs="TimesNewRoman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712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sz w:val="28"/>
              </w:rPr>
            </w:pPr>
            <w:r>
              <w:rPr>
                <w:rFonts w:ascii="TimesNewRoman" w:hAnsi="TimesNewRoman" w:eastAsia="TimesNewRoman" w:cs="TimesNewRoman"/>
                <w:sz w:val="28"/>
                <w:lang w:val="ru-RU"/>
              </w:rPr>
              <w:t xml:space="preserve">Критерии оценки показателей эффективности </w:t>
            </w:r>
            <w:r>
              <w:rPr>
                <w:rFonts w:ascii="TimesNewRoman" w:hAnsi="TimesNewRoman" w:eastAsia="TimesNewRoman" w:cs="TimesNewRoman"/>
                <w:sz w:val="28"/>
              </w:rPr>
            </w:r>
            <w:r>
              <w:rPr>
                <w:rFonts w:ascii="TimesNewRoman" w:hAnsi="TimesNewRoman" w:eastAsia="TimesNewRoman" w:cs="TimesNewRoman"/>
                <w:sz w:val="28"/>
              </w:rPr>
            </w:r>
          </w:p>
          <w:p>
            <w:pPr>
              <w:pStyle w:val="712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sz w:val="28"/>
              </w:rPr>
            </w:pPr>
            <w:r>
              <w:rPr>
                <w:rFonts w:ascii="TimesNewRoman" w:hAnsi="TimesNewRoman" w:eastAsia="TimesNewRoman" w:cs="TimesNewRoman"/>
                <w:sz w:val="28"/>
                <w:lang w:val="ru-RU"/>
              </w:rPr>
              <w:t xml:space="preserve">и результативности деятельности</w:t>
            </w:r>
            <w:r>
              <w:rPr>
                <w:rFonts w:ascii="TimesNewRoman" w:hAnsi="TimesNewRoman" w:eastAsia="TimesNewRoman" w:cs="TimesNewRoman"/>
                <w:sz w:val="28"/>
              </w:rPr>
            </w:r>
            <w:r>
              <w:rPr>
                <w:rFonts w:ascii="TimesNewRoman" w:hAnsi="TimesNewRoman" w:eastAsia="TimesNewRoman" w:cs="TimesNewRoman"/>
                <w:sz w:val="28"/>
              </w:rPr>
            </w:r>
          </w:p>
          <w:p>
            <w:pPr>
              <w:pStyle w:val="712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sz w:val="28"/>
              </w:rPr>
            </w:pPr>
            <w:r>
              <w:rPr>
                <w:rFonts w:ascii="TimesNewRoman" w:hAnsi="TimesNewRoman" w:eastAsia="TimesNewRoman" w:cs="TimesNewRoman"/>
                <w:sz w:val="28"/>
              </w:rPr>
            </w:r>
            <w:r>
              <w:rPr>
                <w:rFonts w:ascii="TimesNewRoman" w:hAnsi="TimesNewRoman" w:eastAsia="TimesNewRoman" w:cs="TimesNewRoman"/>
                <w:sz w:val="28"/>
              </w:rPr>
            </w:r>
            <w:r>
              <w:rPr>
                <w:rFonts w:ascii="TimesNewRoman" w:hAnsi="TimesNewRoman" w:eastAsia="TimesNewRoman" w:cs="TimesNewRoman"/>
                <w:sz w:val="2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60" w:type="dxa"/>
            <w:textDirection w:val="lrTb"/>
            <w:noWrap w:val="false"/>
          </w:tcPr>
          <w:p>
            <w:pPr>
              <w:pStyle w:val="712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sz w:val="28"/>
              </w:rPr>
            </w:pPr>
            <w:r>
              <w:rPr>
                <w:rFonts w:ascii="TimesNewRoman" w:hAnsi="TimesNewRoman" w:eastAsia="TimesNewRoman" w:cs="TimesNewRoman"/>
                <w:sz w:val="28"/>
                <w:lang w:val="ru-RU"/>
              </w:rPr>
              <w:t xml:space="preserve">Значения оценки показателей эффективности </w:t>
            </w:r>
            <w:r>
              <w:rPr>
                <w:rFonts w:ascii="TimesNewRoman" w:hAnsi="TimesNewRoman" w:eastAsia="TimesNewRoman" w:cs="TimesNewRoman"/>
                <w:sz w:val="28"/>
              </w:rPr>
            </w:r>
            <w:r>
              <w:rPr>
                <w:rFonts w:ascii="TimesNewRoman" w:hAnsi="TimesNewRoman" w:eastAsia="TimesNewRoman" w:cs="TimesNewRoman"/>
                <w:sz w:val="28"/>
              </w:rPr>
            </w:r>
          </w:p>
          <w:p>
            <w:pPr>
              <w:pStyle w:val="712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sz w:val="28"/>
              </w:rPr>
            </w:pPr>
            <w:r>
              <w:rPr>
                <w:rFonts w:ascii="TimesNewRoman" w:hAnsi="TimesNewRoman" w:eastAsia="TimesNewRoman" w:cs="TimesNewRoman"/>
                <w:sz w:val="28"/>
                <w:lang w:val="ru-RU"/>
              </w:rPr>
              <w:t xml:space="preserve">и результативности</w:t>
            </w:r>
            <w:r>
              <w:rPr>
                <w:rFonts w:ascii="TimesNewRoman" w:hAnsi="TimesNewRoman" w:eastAsia="TimesNewRoman" w:cs="TimesNewRoman"/>
                <w:sz w:val="28"/>
              </w:rPr>
            </w:r>
            <w:r>
              <w:rPr>
                <w:rFonts w:ascii="TimesNewRoman" w:hAnsi="TimesNewRoman" w:eastAsia="TimesNewRoman" w:cs="TimesNewRoman"/>
                <w:sz w:val="28"/>
              </w:rPr>
            </w:r>
          </w:p>
          <w:p>
            <w:pPr>
              <w:pStyle w:val="712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sz w:val="28"/>
              </w:rPr>
            </w:pPr>
            <w:r>
              <w:rPr>
                <w:rFonts w:ascii="TimesNewRoman" w:hAnsi="TimesNewRoman" w:eastAsia="TimesNewRoman" w:cs="TimesNewRoman"/>
                <w:sz w:val="28"/>
              </w:rPr>
            </w:r>
            <w:r>
              <w:rPr>
                <w:rFonts w:ascii="TimesNewRoman" w:hAnsi="TimesNewRoman" w:eastAsia="TimesNewRoman" w:cs="TimesNewRoman"/>
                <w:sz w:val="28"/>
              </w:rPr>
            </w:r>
            <w:r>
              <w:rPr>
                <w:rFonts w:ascii="TimesNewRoman" w:hAnsi="TimesNewRoman" w:eastAsia="TimesNewRoman" w:cs="TimesNewRoman"/>
                <w:sz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" w:type="dxa"/>
            <w:textDirection w:val="lrTb"/>
            <w:noWrap w:val="false"/>
          </w:tcPr>
          <w:p>
            <w:pPr>
              <w:pStyle w:val="712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sz w:val="28"/>
              </w:rPr>
            </w:pPr>
            <w:r>
              <w:rPr>
                <w:rFonts w:ascii="TimesNewRoman" w:hAnsi="TimesNewRoman" w:eastAsia="TimesNewRoman" w:cs="TimesNewRoman"/>
                <w:sz w:val="28"/>
              </w:rPr>
            </w:r>
            <w:r>
              <w:rPr>
                <w:rFonts w:ascii="TimesNewRoman" w:hAnsi="TimesNewRoman" w:eastAsia="TimesNewRoman" w:cs="TimesNewRoman"/>
                <w:sz w:val="28"/>
              </w:rPr>
            </w:r>
            <w:r>
              <w:rPr>
                <w:rFonts w:ascii="TimesNewRoman" w:hAnsi="TimesNewRoman" w:eastAsia="TimesNewRoman" w:cs="TimesNewRoman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712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sz w:val="28"/>
              </w:rPr>
            </w:pPr>
            <w:r>
              <w:rPr>
                <w:rFonts w:ascii="TimesNewRoman" w:hAnsi="TimesNewRoman" w:eastAsia="TimesNewRoman" w:cs="TimesNewRoman"/>
                <w:sz w:val="28"/>
              </w:rPr>
            </w:r>
            <w:r>
              <w:rPr>
                <w:rFonts w:ascii="TimesNewRoman" w:hAnsi="TimesNewRoman" w:eastAsia="TimesNewRoman" w:cs="TimesNewRoman"/>
                <w:sz w:val="28"/>
              </w:rPr>
            </w:r>
            <w:r>
              <w:rPr>
                <w:rFonts w:ascii="TimesNewRoman" w:hAnsi="TimesNewRoman" w:eastAsia="TimesNewRoman" w:cs="TimesNewRoman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712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sz w:val="28"/>
              </w:rPr>
            </w:pPr>
            <w:r>
              <w:rPr>
                <w:rFonts w:ascii="TimesNewRoman" w:hAnsi="TimesNewRoman" w:eastAsia="TimesNewRoman" w:cs="TimesNewRoman"/>
                <w:sz w:val="28"/>
              </w:rPr>
            </w:r>
            <w:r>
              <w:rPr>
                <w:rFonts w:ascii="TimesNewRoman" w:hAnsi="TimesNewRoman" w:eastAsia="TimesNewRoman" w:cs="TimesNewRoman"/>
                <w:sz w:val="28"/>
              </w:rPr>
            </w:r>
            <w:r>
              <w:rPr>
                <w:rFonts w:ascii="TimesNewRoman" w:hAnsi="TimesNewRoman" w:eastAsia="TimesNewRoman" w:cs="TimesNewRoman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6" w:type="dxa"/>
            <w:textDirection w:val="lrTb"/>
            <w:noWrap w:val="false"/>
          </w:tcPr>
          <w:p>
            <w:pPr>
              <w:pStyle w:val="712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sz w:val="28"/>
              </w:rPr>
            </w:pPr>
            <w:r>
              <w:rPr>
                <w:rFonts w:ascii="TimesNewRoman" w:hAnsi="TimesNewRoman" w:eastAsia="TimesNewRoman" w:cs="TimesNewRoman"/>
                <w:sz w:val="28"/>
                <w:lang w:val="ru-RU"/>
              </w:rPr>
              <w:t xml:space="preserve">плановое</w:t>
            </w:r>
            <w:r>
              <w:rPr>
                <w:rFonts w:ascii="TimesNewRoman" w:hAnsi="TimesNewRoman" w:eastAsia="TimesNewRoman" w:cs="TimesNewRoman"/>
                <w:sz w:val="28"/>
              </w:rPr>
            </w:r>
            <w:r>
              <w:rPr>
                <w:rFonts w:ascii="TimesNewRoman" w:hAnsi="TimesNewRoman" w:eastAsia="TimesNewRoman" w:cs="TimesNewRoman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4" w:type="dxa"/>
            <w:textDirection w:val="lrTb"/>
            <w:noWrap w:val="false"/>
          </w:tcPr>
          <w:p>
            <w:pPr>
              <w:pStyle w:val="712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sz w:val="28"/>
              </w:rPr>
            </w:pPr>
            <w:r>
              <w:rPr>
                <w:rFonts w:ascii="TimesNewRoman" w:hAnsi="TimesNewRoman" w:eastAsia="TimesNewRoman" w:cs="TimesNewRoman"/>
                <w:sz w:val="28"/>
                <w:lang w:val="ru-RU"/>
              </w:rPr>
              <w:t xml:space="preserve">фактическое</w:t>
            </w:r>
            <w:r>
              <w:rPr>
                <w:rFonts w:ascii="TimesNewRoman" w:hAnsi="TimesNewRoman" w:eastAsia="TimesNewRoman" w:cs="TimesNewRoman"/>
                <w:sz w:val="28"/>
              </w:rPr>
            </w:r>
            <w:r>
              <w:rPr>
                <w:rFonts w:ascii="TimesNewRoman" w:hAnsi="TimesNewRoman" w:eastAsia="TimesNewRoman" w:cs="TimesNewRoman"/>
                <w:sz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" w:type="dxa"/>
            <w:textDirection w:val="lrTb"/>
            <w:noWrap w:val="false"/>
          </w:tcPr>
          <w:p>
            <w:pPr>
              <w:pStyle w:val="712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sz w:val="28"/>
              </w:rPr>
            </w:pPr>
            <w:r>
              <w:rPr>
                <w:rFonts w:ascii="TimesNewRoman" w:hAnsi="TimesNewRoman" w:eastAsia="TimesNewRoman" w:cs="TimesNewRoman"/>
                <w:sz w:val="28"/>
              </w:rPr>
            </w:r>
            <w:r>
              <w:rPr>
                <w:rFonts w:ascii="TimesNewRoman" w:hAnsi="TimesNewRoman" w:eastAsia="TimesNewRoman" w:cs="TimesNewRoman"/>
                <w:sz w:val="28"/>
              </w:rPr>
            </w:r>
            <w:r>
              <w:rPr>
                <w:rFonts w:ascii="TimesNewRoman" w:hAnsi="TimesNewRoman" w:eastAsia="TimesNewRoman" w:cs="TimesNewRoman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712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sz w:val="28"/>
              </w:rPr>
            </w:pPr>
            <w:r>
              <w:rPr>
                <w:rFonts w:ascii="TimesNewRoman" w:hAnsi="TimesNewRoman" w:eastAsia="TimesNewRoman" w:cs="TimesNewRoman"/>
                <w:sz w:val="28"/>
              </w:rPr>
            </w:r>
            <w:r>
              <w:rPr>
                <w:rFonts w:ascii="TimesNewRoman" w:hAnsi="TimesNewRoman" w:eastAsia="TimesNewRoman" w:cs="TimesNewRoman"/>
                <w:sz w:val="28"/>
              </w:rPr>
            </w:r>
            <w:r>
              <w:rPr>
                <w:rFonts w:ascii="TimesNewRoman" w:hAnsi="TimesNewRoman" w:eastAsia="TimesNewRoman" w:cs="TimesNewRoman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712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sz w:val="28"/>
              </w:rPr>
            </w:pPr>
            <w:r>
              <w:rPr>
                <w:rFonts w:ascii="TimesNewRoman" w:hAnsi="TimesNewRoman" w:eastAsia="TimesNewRoman" w:cs="TimesNewRoman"/>
                <w:sz w:val="28"/>
              </w:rPr>
            </w:r>
            <w:r>
              <w:rPr>
                <w:rFonts w:ascii="TimesNewRoman" w:hAnsi="TimesNewRoman" w:eastAsia="TimesNewRoman" w:cs="TimesNewRoman"/>
                <w:sz w:val="28"/>
              </w:rPr>
            </w:r>
            <w:r>
              <w:rPr>
                <w:rFonts w:ascii="TimesNewRoman" w:hAnsi="TimesNewRoman" w:eastAsia="TimesNewRoman" w:cs="TimesNewRoman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6" w:type="dxa"/>
            <w:textDirection w:val="lrTb"/>
            <w:noWrap w:val="false"/>
          </w:tcPr>
          <w:p>
            <w:pPr>
              <w:pStyle w:val="712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sz w:val="28"/>
              </w:rPr>
            </w:pPr>
            <w:r>
              <w:rPr>
                <w:rFonts w:ascii="TimesNewRoman" w:hAnsi="TimesNewRoman" w:eastAsia="TimesNewRoman" w:cs="TimesNewRoman"/>
                <w:sz w:val="28"/>
              </w:rPr>
            </w:r>
            <w:r>
              <w:rPr>
                <w:rFonts w:ascii="TimesNewRoman" w:hAnsi="TimesNewRoman" w:eastAsia="TimesNewRoman" w:cs="TimesNewRoman"/>
                <w:sz w:val="28"/>
              </w:rPr>
            </w:r>
            <w:r>
              <w:rPr>
                <w:rFonts w:ascii="TimesNewRoman" w:hAnsi="TimesNewRoman" w:eastAsia="TimesNewRoman" w:cs="TimesNewRoman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4" w:type="dxa"/>
            <w:textDirection w:val="lrTb"/>
            <w:noWrap w:val="false"/>
          </w:tcPr>
          <w:p>
            <w:pPr>
              <w:pStyle w:val="712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sz w:val="28"/>
              </w:rPr>
            </w:pPr>
            <w:r>
              <w:rPr>
                <w:rFonts w:ascii="TimesNewRoman" w:hAnsi="TimesNewRoman" w:eastAsia="TimesNewRoman" w:cs="TimesNewRoman"/>
                <w:sz w:val="28"/>
              </w:rPr>
            </w:r>
            <w:r>
              <w:rPr>
                <w:rFonts w:ascii="TimesNewRoman" w:hAnsi="TimesNewRoman" w:eastAsia="TimesNewRoman" w:cs="TimesNewRoman"/>
                <w:sz w:val="28"/>
              </w:rPr>
            </w:r>
            <w:r>
              <w:rPr>
                <w:rFonts w:ascii="TimesNewRoman" w:hAnsi="TimesNewRoman" w:eastAsia="TimesNewRoman" w:cs="TimesNewRoman"/>
                <w:sz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" w:type="dxa"/>
            <w:textDirection w:val="lrTb"/>
            <w:noWrap w:val="false"/>
          </w:tcPr>
          <w:p>
            <w:pPr>
              <w:pStyle w:val="712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sz w:val="28"/>
              </w:rPr>
            </w:pPr>
            <w:r>
              <w:rPr>
                <w:rFonts w:ascii="TimesNewRoman" w:hAnsi="TimesNewRoman" w:eastAsia="TimesNewRoman" w:cs="TimesNewRoman"/>
                <w:sz w:val="28"/>
              </w:rPr>
            </w:r>
            <w:r>
              <w:rPr>
                <w:rFonts w:ascii="TimesNewRoman" w:hAnsi="TimesNewRoman" w:eastAsia="TimesNewRoman" w:cs="TimesNewRoman"/>
                <w:sz w:val="28"/>
              </w:rPr>
            </w:r>
            <w:r>
              <w:rPr>
                <w:rFonts w:ascii="TimesNewRoman" w:hAnsi="TimesNewRoman" w:eastAsia="TimesNewRoman" w:cs="TimesNewRoman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712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sz w:val="28"/>
              </w:rPr>
            </w:pPr>
            <w:r>
              <w:rPr>
                <w:rFonts w:ascii="TimesNewRoman" w:hAnsi="TimesNewRoman" w:eastAsia="TimesNewRoman" w:cs="TimesNewRoman"/>
                <w:sz w:val="28"/>
              </w:rPr>
            </w:r>
            <w:r>
              <w:rPr>
                <w:rFonts w:ascii="TimesNewRoman" w:hAnsi="TimesNewRoman" w:eastAsia="TimesNewRoman" w:cs="TimesNewRoman"/>
                <w:sz w:val="28"/>
              </w:rPr>
            </w:r>
            <w:r>
              <w:rPr>
                <w:rFonts w:ascii="TimesNewRoman" w:hAnsi="TimesNewRoman" w:eastAsia="TimesNewRoman" w:cs="TimesNewRoman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712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sz w:val="28"/>
              </w:rPr>
            </w:pPr>
            <w:r>
              <w:rPr>
                <w:rFonts w:ascii="TimesNewRoman" w:hAnsi="TimesNewRoman" w:eastAsia="TimesNewRoman" w:cs="TimesNewRoman"/>
                <w:sz w:val="28"/>
              </w:rPr>
            </w:r>
            <w:r>
              <w:rPr>
                <w:rFonts w:ascii="TimesNewRoman" w:hAnsi="TimesNewRoman" w:eastAsia="TimesNewRoman" w:cs="TimesNewRoman"/>
                <w:sz w:val="28"/>
              </w:rPr>
            </w:r>
            <w:r>
              <w:rPr>
                <w:rFonts w:ascii="TimesNewRoman" w:hAnsi="TimesNewRoman" w:eastAsia="TimesNewRoman" w:cs="TimesNewRoman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6" w:type="dxa"/>
            <w:textDirection w:val="lrTb"/>
            <w:noWrap w:val="false"/>
          </w:tcPr>
          <w:p>
            <w:pPr>
              <w:pStyle w:val="712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sz w:val="28"/>
              </w:rPr>
            </w:pPr>
            <w:r>
              <w:rPr>
                <w:rFonts w:ascii="TimesNewRoman" w:hAnsi="TimesNewRoman" w:eastAsia="TimesNewRoman" w:cs="TimesNewRoman"/>
                <w:sz w:val="28"/>
              </w:rPr>
            </w:r>
            <w:r>
              <w:rPr>
                <w:rFonts w:ascii="TimesNewRoman" w:hAnsi="TimesNewRoman" w:eastAsia="TimesNewRoman" w:cs="TimesNewRoman"/>
                <w:sz w:val="28"/>
              </w:rPr>
            </w:r>
            <w:r>
              <w:rPr>
                <w:rFonts w:ascii="TimesNewRoman" w:hAnsi="TimesNewRoman" w:eastAsia="TimesNewRoman" w:cs="TimesNewRoman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4" w:type="dxa"/>
            <w:textDirection w:val="lrTb"/>
            <w:noWrap w:val="false"/>
          </w:tcPr>
          <w:p>
            <w:pPr>
              <w:pStyle w:val="712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sz w:val="28"/>
              </w:rPr>
            </w:pPr>
            <w:r>
              <w:rPr>
                <w:rFonts w:ascii="TimesNewRoman" w:hAnsi="TimesNewRoman" w:eastAsia="TimesNewRoman" w:cs="TimesNewRoman"/>
                <w:sz w:val="28"/>
              </w:rPr>
            </w:r>
            <w:r>
              <w:rPr>
                <w:rFonts w:ascii="TimesNewRoman" w:hAnsi="TimesNewRoman" w:eastAsia="TimesNewRoman" w:cs="TimesNewRoman"/>
                <w:sz w:val="28"/>
              </w:rPr>
            </w:r>
            <w:r>
              <w:rPr>
                <w:rFonts w:ascii="TimesNewRoman" w:hAnsi="TimesNewRoman" w:eastAsia="TimesNewRoman" w:cs="TimesNewRoman"/>
                <w:sz w:val="28"/>
              </w:rPr>
            </w:r>
          </w:p>
        </w:tc>
      </w:tr>
    </w:tbl>
    <w:p>
      <w:pPr>
        <w:pStyle w:val="712"/>
        <w:jc w:val="left"/>
        <w:spacing w:before="0" w:after="0" w:line="240" w:lineRule="auto"/>
        <w:rPr>
          <w:rFonts w:ascii="TimesNewRoman" w:hAnsi="TimesNewRoman" w:eastAsia="TimesNewRoman" w:cs="TimesNewRoman"/>
          <w:sz w:val="28"/>
        </w:rPr>
      </w:pPr>
      <w:r>
        <w:rPr>
          <w:rFonts w:ascii="TimesNewRoman" w:hAnsi="TimesNewRoman" w:eastAsia="TimesNewRoman" w:cs="TimesNewRoman"/>
          <w:sz w:val="28"/>
        </w:rPr>
      </w:r>
      <w:r>
        <w:rPr>
          <w:rFonts w:ascii="TimesNewRoman" w:hAnsi="TimesNewRoman" w:eastAsia="TimesNewRoman" w:cs="TimesNewRoman"/>
          <w:sz w:val="28"/>
        </w:rPr>
      </w:r>
      <w:r>
        <w:rPr>
          <w:rFonts w:ascii="TimesNewRoman" w:hAnsi="TimesNewRoman" w:eastAsia="TimesNewRoman" w:cs="TimesNewRoman"/>
          <w:sz w:val="28"/>
        </w:rPr>
      </w:r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Размер премиальных выплат соответствует стопроцентному достижению установленных приложениями 1 и 2 к настоящему положению значений показателей эффективности и результативности деятельности и критериев оценки деятельности Учреждения.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Премиальная выплата по итогам работы за год максимальным размером </w:t>
        <w:br/>
        <w:t xml:space="preserve">не ограничена и выплачивается при наличии экономии фонда оплаты труда.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2. Премиальные выплаты по итогам работы за отчетный период руководителю Учреждения уменьшаются на 100 процентов в случаях: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- выявления в отчетном периоде фактов нецелевого использования бюджетных средств;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выявления в отчетном периоде фактов предоставления недостоверной (искаженной) отчетности о достижении показателей эффективности </w:t>
        <w:br/>
        <w:t xml:space="preserve">и результативности деятельности Учреждения, повлекшей установление необоснованно высоких размеров премиальных выплат по итогам </w:t>
      </w:r>
      <w:r>
        <w:rPr>
          <w:sz w:val="28"/>
          <w:szCs w:val="28"/>
        </w:rPr>
        <w:t xml:space="preserve">работы;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- наличия задолженности по выплате заработной платы работникам Учреждения по итогам хотя бы одного месяца отчетного периода (за исключением задолженности, возникшей по вине третьих лиц, а также оспариваемой в судебном порядке);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- совершение сделок с имуществом, находящимся в оперативном управлении Учреждения, с нарушением требований законодательства (выявленных в течение отчетного периода);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- привлечения руководителя к дисциплинарной ответственности в порядке, установленном трудовым законодательством;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- наличие в отчетном периоде случаев нарушений бюджетного законодательства, выявленных в ходе проведения контрольных мероприятий;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- наличие судебных решений, вступивших в законную силу в отчетном периоде и предусматривающих полное или частичное удовлетворение исковых требований о взыскании с Учреждения по принятым им как получателем бюджетных средств денежным обязательствам;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</w:rPr>
        <w:t xml:space="preserve">- наличие решений налогового органа о взыскании с Учреждения налога, сбора, страхового взноса, пеней и штрафов, предусматривающих обращение взыскания на средства бюджетов бюджетной системы Российской Федерации;</w:t>
      </w:r>
      <w:r>
        <w:rPr>
          <w:sz w:val="28"/>
          <w:szCs w:val="28"/>
        </w:rPr>
      </w:r>
      <w:r>
        <w:rPr>
          <w:sz w:val="28"/>
          <w:szCs w:val="28"/>
          <w:highlight w:val="none"/>
          <w14:ligatures w14:val="none"/>
        </w:rPr>
      </w:r>
    </w:p>
    <w:p>
      <w:pPr>
        <w:pStyle w:val="712"/>
        <w:ind w:left="0" w:right="0" w:firstLine="709"/>
        <w:jc w:val="both"/>
        <w:rPr>
          <w:rFonts w:ascii="Times New Roman" w:hAnsi="Times New Roman" w:eastAsia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- наличие 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  <w:highlight w:val="white"/>
          <w:lang w:val="ru-RU"/>
        </w:rPr>
        <w:t xml:space="preserve">просроченной кредиторской задолженности 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  <w:highlight w:val="white"/>
          <w:lang w:val="ru-RU"/>
        </w:rPr>
        <w:t xml:space="preserve">по налогам, по оплате труда 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  <w:highlight w:val="white"/>
          <w:lang w:val="ru-RU"/>
        </w:rPr>
        <w:t xml:space="preserve">и начислениям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(кроме судебно оспариваемой);</w:t>
      </w:r>
      <w:r>
        <w:rPr>
          <w:sz w:val="28"/>
          <w:szCs w:val="28"/>
          <w:highlight w:val="white"/>
          <w14:ligatures w14:val="none"/>
        </w:rPr>
      </w:r>
    </w:p>
    <w:p>
      <w:pPr>
        <w:pStyle w:val="712"/>
        <w:ind w:left="0" w:right="0" w:firstLine="709"/>
        <w:jc w:val="both"/>
        <w:rPr>
          <w:sz w:val="28"/>
          <w:szCs w:val="28"/>
          <w:highlight w:val="whit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 - </w:t>
      </w:r>
      <w:r>
        <w:rPr>
          <w:sz w:val="28"/>
          <w:szCs w:val="28"/>
          <w:highlight w:val="white"/>
        </w:rPr>
        <w:t xml:space="preserve">достижения</w:t>
      </w:r>
      <w:r>
        <w:rPr>
          <w:sz w:val="28"/>
          <w:szCs w:val="28"/>
          <w:highlight w:val="white"/>
        </w:rPr>
        <w:t xml:space="preserve"> неудовлетворительного уровня выполнения </w:t>
      </w:r>
      <w:r>
        <w:rPr>
          <w:sz w:val="28"/>
          <w:szCs w:val="28"/>
          <w:highlight w:val="white"/>
        </w:rPr>
        <w:t xml:space="preserve">критериев оценки деятельности Учреждения по трем и более критериям оценки, установленным приложением № 1 к настоящему Положению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  <w14:ligatures w14:val="none"/>
        </w:rPr>
      </w:r>
      <w:r/>
    </w:p>
    <w:p>
      <w:pPr>
        <w:pStyle w:val="712"/>
        <w:ind w:left="0" w:right="0" w:firstLine="709"/>
        <w:jc w:val="both"/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  <w:r/>
    </w:p>
    <w:p>
      <w:pPr>
        <w:pStyle w:val="712"/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Суммарное снижение премиальных выплат по итогам работы по всем указанным в настоящем пункте случаям не может превышать 100 процентов.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sectPr>
      <w:footnotePr/>
      <w:endnotePr/>
      <w:type w:val="nextPage"/>
      <w:pgSz w:w="11907" w:h="16840" w:orient="portrait"/>
      <w:pgMar w:top="1134" w:right="567" w:bottom="568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">
    <w:panose1 w:val="02020603050405020304"/>
  </w:font>
  <w:font w:name="Times New Roman">
    <w:panose1 w:val="02020603050405020304"/>
  </w:font>
  <w:font w:name="Symbol">
    <w:panose1 w:val="05010000000000000000"/>
  </w:font>
  <w:font w:name="Arial">
    <w:panose1 w:val="020B0604020202020204"/>
  </w:font>
  <w:font w:name="Cambria">
    <w:panose1 w:val="02040803050406030204"/>
  </w:font>
  <w:font w:name="Georgia">
    <w:panose1 w:val="02040502050405020303"/>
  </w:font>
  <w:font w:name="Calibri">
    <w:panose1 w:val="020F0502020204030204"/>
  </w:font>
  <w:font w:name="Tahoma">
    <w:panose1 w:val="020B0604030504040204"/>
  </w:font>
  <w:font w:name="Courier New">
    <w:panose1 w:val="02070309020205020404"/>
  </w:font>
  <w:font w:name="Wingdings">
    <w:panose1 w:val="05010000000000000000"/>
  </w:font>
  <w:font w:name="Liberation Sans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19" w:hanging="111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35" w:hanging="360"/>
        <w:tabs>
          <w:tab w:val="num" w:pos="1335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55" w:hanging="360"/>
        <w:tabs>
          <w:tab w:val="num" w:pos="2055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75" w:hanging="360"/>
        <w:tabs>
          <w:tab w:val="num" w:pos="2775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95" w:hanging="360"/>
        <w:tabs>
          <w:tab w:val="num" w:pos="3495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15" w:hanging="360"/>
        <w:tabs>
          <w:tab w:val="num" w:pos="4215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35" w:hanging="360"/>
        <w:tabs>
          <w:tab w:val="num" w:pos="4935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55" w:hanging="360"/>
        <w:tabs>
          <w:tab w:val="num" w:pos="5655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75" w:hanging="360"/>
        <w:tabs>
          <w:tab w:val="num" w:pos="6375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95" w:hanging="360"/>
        <w:tabs>
          <w:tab w:val="num" w:pos="7095" w:leader="none"/>
        </w:tabs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52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60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3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8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400" w:hanging="216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99" w:hanging="99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60" w:hanging="360"/>
        <w:tabs>
          <w:tab w:val="num" w:pos="12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80" w:hanging="360"/>
        <w:tabs>
          <w:tab w:val="num" w:pos="198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00" w:hanging="360"/>
        <w:tabs>
          <w:tab w:val="num" w:pos="270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20" w:hanging="360"/>
        <w:tabs>
          <w:tab w:val="num" w:pos="342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  <w:tabs>
          <w:tab w:val="num" w:pos="414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60" w:hanging="360"/>
        <w:tabs>
          <w:tab w:val="num" w:pos="486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80" w:hanging="360"/>
        <w:tabs>
          <w:tab w:val="num" w:pos="558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  <w:tabs>
          <w:tab w:val="num" w:pos="630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20" w:hanging="360"/>
        <w:tabs>
          <w:tab w:val="num" w:pos="7020" w:leader="none"/>
        </w:tabs>
      </w:pPr>
      <w:rPr>
        <w:rFonts w:ascii="Wingdings" w:hAnsi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35" w:hanging="825"/>
      </w:pPr>
      <w:rPr>
        <w:rFonts w:ascii="Times New Roman" w:hAnsi="Times New Roman" w:eastAsia="Calibri" w:cs="Times New Roman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76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8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0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2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4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6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8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03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9"/>
  </w:num>
  <w:num w:numId="2">
    <w:abstractNumId w:val="14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10"/>
  </w:num>
  <w:num w:numId="9">
    <w:abstractNumId w:val="15"/>
  </w:num>
  <w:num w:numId="10">
    <w:abstractNumId w:val="13"/>
  </w:num>
  <w:num w:numId="11">
    <w:abstractNumId w:val="7"/>
  </w:num>
  <w:num w:numId="12">
    <w:abstractNumId w:val="3"/>
  </w:num>
  <w:num w:numId="13">
    <w:abstractNumId w:val="8"/>
  </w:num>
  <w:num w:numId="14">
    <w:abstractNumId w:val="16"/>
  </w:num>
  <w:num w:numId="15">
    <w:abstractNumId w:val="11"/>
  </w:num>
  <w:num w:numId="16">
    <w:abstractNumId w:val="17"/>
  </w:num>
  <w:num w:numId="17">
    <w:abstractNumId w:val="0"/>
  </w:num>
  <w:num w:numId="18">
    <w:abstractNumId w:val="1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3">
    <w:name w:val="Heading 1"/>
    <w:basedOn w:val="871"/>
    <w:next w:val="871"/>
    <w:link w:val="694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94">
    <w:name w:val="Heading 1 Char"/>
    <w:link w:val="693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95">
    <w:name w:val="Heading 2"/>
    <w:basedOn w:val="871"/>
    <w:next w:val="871"/>
    <w:link w:val="696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96">
    <w:name w:val="Heading 2 Char"/>
    <w:link w:val="695"/>
    <w:uiPriority w:val="9"/>
    <w:rPr>
      <w:rFonts w:ascii="Liberation Sans" w:hAnsi="Liberation Sans" w:eastAsia="Liberation Sans" w:cs="Liberation Sans"/>
      <w:sz w:val="34"/>
    </w:rPr>
  </w:style>
  <w:style w:type="paragraph" w:styleId="697">
    <w:name w:val="Heading 3"/>
    <w:basedOn w:val="871"/>
    <w:next w:val="871"/>
    <w:link w:val="698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98">
    <w:name w:val="Heading 3 Char"/>
    <w:link w:val="697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99">
    <w:name w:val="Heading 4"/>
    <w:basedOn w:val="871"/>
    <w:next w:val="871"/>
    <w:link w:val="700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0">
    <w:name w:val="Heading 4 Char"/>
    <w:link w:val="69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01">
    <w:name w:val="Heading 5"/>
    <w:basedOn w:val="871"/>
    <w:next w:val="871"/>
    <w:link w:val="702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2">
    <w:name w:val="Heading 5 Char"/>
    <w:link w:val="70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03">
    <w:name w:val="Heading 6"/>
    <w:basedOn w:val="871"/>
    <w:next w:val="871"/>
    <w:link w:val="704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4">
    <w:name w:val="Heading 6 Char"/>
    <w:link w:val="703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05">
    <w:name w:val="Heading 7"/>
    <w:basedOn w:val="871"/>
    <w:next w:val="871"/>
    <w:link w:val="706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6">
    <w:name w:val="Heading 7 Char"/>
    <w:link w:val="70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7">
    <w:name w:val="Heading 8"/>
    <w:basedOn w:val="871"/>
    <w:next w:val="871"/>
    <w:link w:val="708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8">
    <w:name w:val="Heading 8 Char"/>
    <w:link w:val="70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9">
    <w:name w:val="Heading 9"/>
    <w:basedOn w:val="871"/>
    <w:next w:val="871"/>
    <w:link w:val="710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0">
    <w:name w:val="Heading 9 Char"/>
    <w:link w:val="70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11">
    <w:name w:val="List Paragraph"/>
    <w:basedOn w:val="871"/>
    <w:uiPriority w:val="34"/>
    <w:qFormat/>
    <w:pPr>
      <w:contextualSpacing/>
      <w:ind w:left="720"/>
    </w:pPr>
  </w:style>
  <w:style w:type="paragraph" w:styleId="712">
    <w:name w:val="No Spacing"/>
    <w:uiPriority w:val="1"/>
    <w:qFormat/>
    <w:pPr>
      <w:spacing w:before="0" w:after="0" w:line="240" w:lineRule="auto"/>
    </w:pPr>
  </w:style>
  <w:style w:type="paragraph" w:styleId="713">
    <w:name w:val="Title"/>
    <w:basedOn w:val="871"/>
    <w:next w:val="871"/>
    <w:link w:val="71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4">
    <w:name w:val="Title Char"/>
    <w:link w:val="713"/>
    <w:uiPriority w:val="10"/>
    <w:rPr>
      <w:sz w:val="48"/>
      <w:szCs w:val="48"/>
    </w:rPr>
  </w:style>
  <w:style w:type="paragraph" w:styleId="715">
    <w:name w:val="Subtitle"/>
    <w:basedOn w:val="871"/>
    <w:next w:val="871"/>
    <w:link w:val="716"/>
    <w:uiPriority w:val="11"/>
    <w:qFormat/>
    <w:pPr>
      <w:spacing w:before="200" w:after="200"/>
    </w:pPr>
    <w:rPr>
      <w:sz w:val="24"/>
      <w:szCs w:val="24"/>
    </w:rPr>
  </w:style>
  <w:style w:type="character" w:styleId="716">
    <w:name w:val="Subtitle Char"/>
    <w:link w:val="715"/>
    <w:uiPriority w:val="11"/>
    <w:rPr>
      <w:sz w:val="24"/>
      <w:szCs w:val="24"/>
    </w:rPr>
  </w:style>
  <w:style w:type="paragraph" w:styleId="717">
    <w:name w:val="Quote"/>
    <w:basedOn w:val="871"/>
    <w:next w:val="871"/>
    <w:link w:val="718"/>
    <w:uiPriority w:val="29"/>
    <w:qFormat/>
    <w:pPr>
      <w:ind w:left="720" w:right="720"/>
    </w:pPr>
    <w:rPr>
      <w:i/>
    </w:rPr>
  </w:style>
  <w:style w:type="character" w:styleId="718">
    <w:name w:val="Quote Char"/>
    <w:link w:val="717"/>
    <w:uiPriority w:val="29"/>
    <w:rPr>
      <w:i/>
    </w:rPr>
  </w:style>
  <w:style w:type="paragraph" w:styleId="719">
    <w:name w:val="Intense Quote"/>
    <w:basedOn w:val="871"/>
    <w:next w:val="871"/>
    <w:link w:val="72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0">
    <w:name w:val="Intense Quote Char"/>
    <w:link w:val="719"/>
    <w:uiPriority w:val="30"/>
    <w:rPr>
      <w:i/>
    </w:rPr>
  </w:style>
  <w:style w:type="paragraph" w:styleId="721">
    <w:name w:val="Header"/>
    <w:basedOn w:val="871"/>
    <w:link w:val="72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2">
    <w:name w:val="Header Char"/>
    <w:link w:val="721"/>
    <w:uiPriority w:val="99"/>
  </w:style>
  <w:style w:type="paragraph" w:styleId="723">
    <w:name w:val="Footer"/>
    <w:basedOn w:val="871"/>
    <w:link w:val="72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4">
    <w:name w:val="Footer Char"/>
    <w:link w:val="723"/>
    <w:uiPriority w:val="99"/>
  </w:style>
  <w:style w:type="paragraph" w:styleId="725">
    <w:name w:val="Caption"/>
    <w:basedOn w:val="871"/>
    <w:next w:val="871"/>
    <w:link w:val="72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6">
    <w:name w:val="Caption Char"/>
    <w:link w:val="725"/>
    <w:uiPriority w:val="35"/>
    <w:rPr>
      <w:b/>
      <w:bCs/>
      <w:color w:val="4f81bd" w:themeColor="accent1"/>
      <w:sz w:val="18"/>
      <w:szCs w:val="18"/>
    </w:rPr>
  </w:style>
  <w:style w:type="table" w:styleId="727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0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1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7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8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9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0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1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2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9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70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7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72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73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74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5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6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7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2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3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4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5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6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7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8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9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0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2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3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4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5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26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27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28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29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30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3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32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4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5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6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7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8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9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1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2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3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4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5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6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7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8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9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0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1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2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3">
    <w:name w:val="Hyperlink"/>
    <w:uiPriority w:val="99"/>
    <w:unhideWhenUsed/>
    <w:rPr>
      <w:color w:val="0000ff" w:themeColor="hyperlink"/>
      <w:u w:val="single"/>
    </w:rPr>
  </w:style>
  <w:style w:type="paragraph" w:styleId="854">
    <w:name w:val="footnote text"/>
    <w:basedOn w:val="871"/>
    <w:link w:val="855"/>
    <w:uiPriority w:val="99"/>
    <w:semiHidden/>
    <w:unhideWhenUsed/>
    <w:pPr>
      <w:spacing w:after="40" w:line="240" w:lineRule="auto"/>
    </w:pPr>
    <w:rPr>
      <w:sz w:val="18"/>
    </w:rPr>
  </w:style>
  <w:style w:type="character" w:styleId="855">
    <w:name w:val="Footnote Text Char"/>
    <w:link w:val="854"/>
    <w:uiPriority w:val="99"/>
    <w:rPr>
      <w:sz w:val="18"/>
    </w:rPr>
  </w:style>
  <w:style w:type="character" w:styleId="856">
    <w:name w:val="footnote reference"/>
    <w:uiPriority w:val="99"/>
    <w:unhideWhenUsed/>
    <w:rPr>
      <w:vertAlign w:val="superscript"/>
    </w:rPr>
  </w:style>
  <w:style w:type="paragraph" w:styleId="857">
    <w:name w:val="endnote text"/>
    <w:basedOn w:val="871"/>
    <w:link w:val="858"/>
    <w:uiPriority w:val="99"/>
    <w:semiHidden/>
    <w:unhideWhenUsed/>
    <w:pPr>
      <w:spacing w:after="0" w:line="240" w:lineRule="auto"/>
    </w:pPr>
    <w:rPr>
      <w:sz w:val="20"/>
    </w:rPr>
  </w:style>
  <w:style w:type="character" w:styleId="858">
    <w:name w:val="Endnote Text Char"/>
    <w:link w:val="857"/>
    <w:uiPriority w:val="99"/>
    <w:rPr>
      <w:sz w:val="20"/>
    </w:rPr>
  </w:style>
  <w:style w:type="character" w:styleId="859">
    <w:name w:val="endnote reference"/>
    <w:uiPriority w:val="99"/>
    <w:semiHidden/>
    <w:unhideWhenUsed/>
    <w:rPr>
      <w:vertAlign w:val="superscript"/>
    </w:rPr>
  </w:style>
  <w:style w:type="paragraph" w:styleId="860">
    <w:name w:val="toc 1"/>
    <w:basedOn w:val="871"/>
    <w:next w:val="871"/>
    <w:uiPriority w:val="39"/>
    <w:unhideWhenUsed/>
    <w:pPr>
      <w:ind w:left="0" w:right="0" w:firstLine="0"/>
      <w:spacing w:after="57"/>
    </w:pPr>
  </w:style>
  <w:style w:type="paragraph" w:styleId="861">
    <w:name w:val="toc 2"/>
    <w:basedOn w:val="871"/>
    <w:next w:val="871"/>
    <w:uiPriority w:val="39"/>
    <w:unhideWhenUsed/>
    <w:pPr>
      <w:ind w:left="283" w:right="0" w:firstLine="0"/>
      <w:spacing w:after="57"/>
    </w:pPr>
  </w:style>
  <w:style w:type="paragraph" w:styleId="862">
    <w:name w:val="toc 3"/>
    <w:basedOn w:val="871"/>
    <w:next w:val="871"/>
    <w:uiPriority w:val="39"/>
    <w:unhideWhenUsed/>
    <w:pPr>
      <w:ind w:left="567" w:right="0" w:firstLine="0"/>
      <w:spacing w:after="57"/>
    </w:pPr>
  </w:style>
  <w:style w:type="paragraph" w:styleId="863">
    <w:name w:val="toc 4"/>
    <w:basedOn w:val="871"/>
    <w:next w:val="871"/>
    <w:uiPriority w:val="39"/>
    <w:unhideWhenUsed/>
    <w:pPr>
      <w:ind w:left="850" w:right="0" w:firstLine="0"/>
      <w:spacing w:after="57"/>
    </w:pPr>
  </w:style>
  <w:style w:type="paragraph" w:styleId="864">
    <w:name w:val="toc 5"/>
    <w:basedOn w:val="871"/>
    <w:next w:val="871"/>
    <w:uiPriority w:val="39"/>
    <w:unhideWhenUsed/>
    <w:pPr>
      <w:ind w:left="1134" w:right="0" w:firstLine="0"/>
      <w:spacing w:after="57"/>
    </w:pPr>
  </w:style>
  <w:style w:type="paragraph" w:styleId="865">
    <w:name w:val="toc 6"/>
    <w:basedOn w:val="871"/>
    <w:next w:val="871"/>
    <w:uiPriority w:val="39"/>
    <w:unhideWhenUsed/>
    <w:pPr>
      <w:ind w:left="1417" w:right="0" w:firstLine="0"/>
      <w:spacing w:after="57"/>
    </w:pPr>
  </w:style>
  <w:style w:type="paragraph" w:styleId="866">
    <w:name w:val="toc 7"/>
    <w:basedOn w:val="871"/>
    <w:next w:val="871"/>
    <w:uiPriority w:val="39"/>
    <w:unhideWhenUsed/>
    <w:pPr>
      <w:ind w:left="1701" w:right="0" w:firstLine="0"/>
      <w:spacing w:after="57"/>
    </w:pPr>
  </w:style>
  <w:style w:type="paragraph" w:styleId="867">
    <w:name w:val="toc 8"/>
    <w:basedOn w:val="871"/>
    <w:next w:val="871"/>
    <w:uiPriority w:val="39"/>
    <w:unhideWhenUsed/>
    <w:pPr>
      <w:ind w:left="1984" w:right="0" w:firstLine="0"/>
      <w:spacing w:after="57"/>
    </w:pPr>
  </w:style>
  <w:style w:type="paragraph" w:styleId="868">
    <w:name w:val="toc 9"/>
    <w:basedOn w:val="871"/>
    <w:next w:val="871"/>
    <w:uiPriority w:val="39"/>
    <w:unhideWhenUsed/>
    <w:pPr>
      <w:ind w:left="2268" w:right="0" w:firstLine="0"/>
      <w:spacing w:after="57"/>
    </w:pPr>
  </w:style>
  <w:style w:type="paragraph" w:styleId="869">
    <w:name w:val="TOC Heading"/>
    <w:uiPriority w:val="39"/>
    <w:unhideWhenUsed/>
  </w:style>
  <w:style w:type="paragraph" w:styleId="870">
    <w:name w:val="table of figures"/>
    <w:basedOn w:val="871"/>
    <w:next w:val="871"/>
    <w:uiPriority w:val="99"/>
    <w:unhideWhenUsed/>
    <w:pPr>
      <w:spacing w:after="0" w:afterAutospacing="0"/>
    </w:pPr>
  </w:style>
  <w:style w:type="paragraph" w:styleId="871" w:default="1">
    <w:name w:val="Normal"/>
    <w:next w:val="871"/>
    <w:link w:val="871"/>
    <w:qFormat/>
    <w:rPr>
      <w:lang w:val="ru-RU" w:eastAsia="ru-RU" w:bidi="ar-SA"/>
    </w:rPr>
  </w:style>
  <w:style w:type="character" w:styleId="872">
    <w:name w:val="Основной шрифт абзаца"/>
    <w:next w:val="872"/>
    <w:link w:val="871"/>
    <w:uiPriority w:val="1"/>
    <w:semiHidden/>
    <w:unhideWhenUsed/>
  </w:style>
  <w:style w:type="table" w:styleId="873">
    <w:name w:val="Обычная таблица"/>
    <w:next w:val="873"/>
    <w:link w:val="871"/>
    <w:uiPriority w:val="99"/>
    <w:semiHidden/>
    <w:unhideWhenUsed/>
    <w:tblPr/>
  </w:style>
  <w:style w:type="numbering" w:styleId="874">
    <w:name w:val="Нет списка"/>
    <w:next w:val="874"/>
    <w:link w:val="871"/>
    <w:uiPriority w:val="99"/>
    <w:semiHidden/>
    <w:unhideWhenUsed/>
  </w:style>
  <w:style w:type="paragraph" w:styleId="875">
    <w:name w:val="ConsPlusNonformat"/>
    <w:next w:val="875"/>
    <w:link w:val="871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876">
    <w:name w:val="Текст выноски"/>
    <w:basedOn w:val="871"/>
    <w:next w:val="876"/>
    <w:link w:val="871"/>
    <w:semiHidden/>
    <w:rPr>
      <w:rFonts w:ascii="Tahoma" w:hAnsi="Tahoma" w:cs="Tahoma"/>
      <w:sz w:val="16"/>
      <w:szCs w:val="16"/>
    </w:rPr>
  </w:style>
  <w:style w:type="paragraph" w:styleId="877">
    <w:name w:val="ConsPlusTitle"/>
    <w:next w:val="877"/>
    <w:link w:val="871"/>
    <w:pPr>
      <w:widowControl w:val="off"/>
    </w:pPr>
    <w:rPr>
      <w:b/>
      <w:bCs/>
      <w:sz w:val="24"/>
      <w:szCs w:val="24"/>
      <w:lang w:val="ru-RU" w:eastAsia="ru-RU" w:bidi="ar-SA"/>
    </w:rPr>
  </w:style>
  <w:style w:type="paragraph" w:styleId="878">
    <w:name w:val="Стандартный HTML"/>
    <w:basedOn w:val="871"/>
    <w:next w:val="878"/>
    <w:link w:val="886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paragraph" w:styleId="879">
    <w:name w:val="ConsPlusCell"/>
    <w:next w:val="879"/>
    <w:link w:val="871"/>
    <w:pPr>
      <w:widowControl w:val="off"/>
    </w:pPr>
    <w:rPr>
      <w:lang w:val="ru-RU" w:eastAsia="ru-RU" w:bidi="ar-SA"/>
    </w:rPr>
  </w:style>
  <w:style w:type="table" w:styleId="880">
    <w:name w:val="Сетка таблицы"/>
    <w:basedOn w:val="873"/>
    <w:next w:val="880"/>
    <w:link w:val="871"/>
    <w:uiPriority w:val="59"/>
    <w:tblPr/>
  </w:style>
  <w:style w:type="paragraph" w:styleId="881">
    <w:name w:val="ConsPlusNormal"/>
    <w:next w:val="881"/>
    <w:link w:val="871"/>
    <w:pPr>
      <w:widowControl w:val="off"/>
    </w:pPr>
    <w:rPr>
      <w:rFonts w:ascii="Calibri" w:hAnsi="Calibri" w:cs="Calibri"/>
      <w:sz w:val="22"/>
      <w:lang w:val="ru-RU" w:eastAsia="ru-RU" w:bidi="ar-SA"/>
    </w:rPr>
  </w:style>
  <w:style w:type="paragraph" w:styleId="882">
    <w:name w:val="Pro-List #1"/>
    <w:basedOn w:val="871"/>
    <w:next w:val="882"/>
    <w:link w:val="883"/>
    <w:qFormat/>
    <w:pPr>
      <w:ind w:left="1134" w:hanging="708"/>
      <w:jc w:val="both"/>
      <w:spacing w:before="180" w:line="288" w:lineRule="auto"/>
      <w:tabs>
        <w:tab w:val="left" w:pos="1134" w:leader="none"/>
      </w:tabs>
    </w:pPr>
    <w:rPr>
      <w:rFonts w:ascii="Georgia" w:hAnsi="Georgia"/>
      <w:szCs w:val="24"/>
    </w:rPr>
  </w:style>
  <w:style w:type="character" w:styleId="883">
    <w:name w:val="Pro-List #1 Знак Знак"/>
    <w:next w:val="883"/>
    <w:link w:val="882"/>
    <w:rPr>
      <w:rFonts w:ascii="Georgia" w:hAnsi="Georgia"/>
      <w:szCs w:val="24"/>
    </w:rPr>
  </w:style>
  <w:style w:type="paragraph" w:styleId="884">
    <w:name w:val="Pro-Gramma"/>
    <w:basedOn w:val="871"/>
    <w:next w:val="884"/>
    <w:link w:val="885"/>
    <w:qFormat/>
    <w:pPr>
      <w:ind w:left="1134"/>
      <w:jc w:val="both"/>
      <w:spacing w:before="120" w:line="288" w:lineRule="auto"/>
    </w:pPr>
    <w:rPr>
      <w:rFonts w:ascii="Georgia" w:hAnsi="Georgia"/>
      <w:szCs w:val="24"/>
    </w:rPr>
  </w:style>
  <w:style w:type="character" w:styleId="885">
    <w:name w:val="Pro-Gramma Знак"/>
    <w:next w:val="885"/>
    <w:link w:val="884"/>
    <w:rPr>
      <w:rFonts w:ascii="Georgia" w:hAnsi="Georgia"/>
      <w:szCs w:val="24"/>
    </w:rPr>
  </w:style>
  <w:style w:type="character" w:styleId="886">
    <w:name w:val="Стандартный HTML Знак"/>
    <w:next w:val="886"/>
    <w:link w:val="878"/>
    <w:rPr>
      <w:rFonts w:ascii="Courier New" w:hAnsi="Courier New" w:cs="Courier New"/>
    </w:rPr>
  </w:style>
  <w:style w:type="paragraph" w:styleId="887">
    <w:name w:val="Схема документа"/>
    <w:basedOn w:val="871"/>
    <w:next w:val="887"/>
    <w:link w:val="888"/>
    <w:uiPriority w:val="99"/>
    <w:semiHidden/>
    <w:unhideWhenUsed/>
    <w:rPr>
      <w:rFonts w:ascii="Tahoma" w:hAnsi="Tahoma" w:cs="Tahoma"/>
      <w:sz w:val="16"/>
      <w:szCs w:val="16"/>
    </w:rPr>
  </w:style>
  <w:style w:type="character" w:styleId="888">
    <w:name w:val="Схема документа Знак"/>
    <w:next w:val="888"/>
    <w:link w:val="887"/>
    <w:uiPriority w:val="99"/>
    <w:semiHidden/>
    <w:rPr>
      <w:rFonts w:ascii="Tahoma" w:hAnsi="Tahoma" w:cs="Tahoma"/>
      <w:sz w:val="16"/>
      <w:szCs w:val="16"/>
    </w:rPr>
  </w:style>
  <w:style w:type="character" w:styleId="889">
    <w:name w:val="Знак примечания"/>
    <w:next w:val="889"/>
    <w:link w:val="871"/>
    <w:uiPriority w:val="99"/>
    <w:semiHidden/>
    <w:unhideWhenUsed/>
    <w:rPr>
      <w:sz w:val="16"/>
      <w:szCs w:val="16"/>
    </w:rPr>
  </w:style>
  <w:style w:type="paragraph" w:styleId="890">
    <w:name w:val="Текст примечания"/>
    <w:basedOn w:val="871"/>
    <w:next w:val="890"/>
    <w:link w:val="891"/>
    <w:uiPriority w:val="99"/>
    <w:semiHidden/>
    <w:unhideWhenUsed/>
  </w:style>
  <w:style w:type="character" w:styleId="891">
    <w:name w:val="Текст примечания Знак"/>
    <w:basedOn w:val="872"/>
    <w:next w:val="891"/>
    <w:link w:val="890"/>
    <w:uiPriority w:val="99"/>
    <w:semiHidden/>
  </w:style>
  <w:style w:type="paragraph" w:styleId="892">
    <w:name w:val="Тема примечания"/>
    <w:basedOn w:val="890"/>
    <w:next w:val="890"/>
    <w:link w:val="893"/>
    <w:uiPriority w:val="99"/>
    <w:semiHidden/>
    <w:unhideWhenUsed/>
    <w:rPr>
      <w:b/>
      <w:bCs/>
    </w:rPr>
  </w:style>
  <w:style w:type="character" w:styleId="893">
    <w:name w:val="Тема примечания Знак"/>
    <w:next w:val="893"/>
    <w:link w:val="892"/>
    <w:uiPriority w:val="99"/>
    <w:semiHidden/>
    <w:rPr>
      <w:b/>
      <w:bCs/>
    </w:rPr>
  </w:style>
  <w:style w:type="table" w:styleId="894">
    <w:name w:val="Pro-Table"/>
    <w:basedOn w:val="873"/>
    <w:next w:val="894"/>
    <w:link w:val="871"/>
    <w:pPr>
      <w:spacing w:before="60" w:after="60"/>
    </w:pPr>
    <w:rPr>
      <w:rFonts w:ascii="Cambria" w:hAnsi="Cambria"/>
      <w:sz w:val="16"/>
    </w:rPr>
    <w:tblPr/>
  </w:style>
  <w:style w:type="paragraph" w:styleId="895">
    <w:name w:val="Абзац списка"/>
    <w:basedOn w:val="871"/>
    <w:next w:val="895"/>
    <w:link w:val="871"/>
    <w:uiPriority w:val="34"/>
    <w:qFormat/>
    <w:pPr>
      <w:contextualSpacing/>
      <w:ind w:left="720"/>
    </w:pPr>
  </w:style>
  <w:style w:type="character" w:styleId="896" w:default="1">
    <w:name w:val="Default Paragraph Font"/>
    <w:uiPriority w:val="1"/>
    <w:semiHidden/>
    <w:unhideWhenUsed/>
  </w:style>
  <w:style w:type="numbering" w:styleId="897" w:default="1">
    <w:name w:val="No List"/>
    <w:uiPriority w:val="99"/>
    <w:semiHidden/>
    <w:unhideWhenUsed/>
  </w:style>
  <w:style w:type="table" w:styleId="898" w:default="1">
    <w:name w:val="Normal Table"/>
    <w:uiPriority w:val="99"/>
    <w:semiHidden/>
    <w:unhideWhenUsed/>
    <w:tblPr/>
  </w:style>
  <w:style w:type="paragraph" w:styleId="899" w:customStyle="1">
    <w:name w:val="       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6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ЭИ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Работник</dc:creator>
  <cp:lastModifiedBy>av_mishneva</cp:lastModifiedBy>
  <cp:revision>18</cp:revision>
  <dcterms:created xsi:type="dcterms:W3CDTF">2026-05-12T13:29:00Z</dcterms:created>
  <dcterms:modified xsi:type="dcterms:W3CDTF">2026-09-16T07:38:18Z</dcterms:modified>
  <cp:version>1048576</cp:version>
</cp:coreProperties>
</file>