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right" w:pos="7655" w:leader="none"/>
        </w:tabs>
        <w:rPr>
          <w:sz w:val="28"/>
          <w:szCs w:val="28"/>
        </w:rPr>
      </w:pPr>
      <w:r/>
      <w:bookmarkStart w:id="0" w:name="_Hlk96336468"/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9786" cy="716517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69786" cy="7165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4.87pt;height:56.42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tabs>
          <w:tab w:val="right" w:pos="765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" w:right="-286"/>
        <w:jc w:val="center"/>
        <w:rPr>
          <w:spacing w:val="30"/>
          <w:sz w:val="28"/>
          <w:szCs w:val="28"/>
        </w:rPr>
      </w:pPr>
      <w:r>
        <w:rPr>
          <w:spacing w:val="30"/>
          <w:sz w:val="28"/>
          <w:szCs w:val="28"/>
        </w:rPr>
        <w:t xml:space="preserve">АДМИНИСТРАЦИЯ ЛЕНИНГРАДСКОЙ ОБЛАСТИ</w:t>
      </w:r>
      <w:r>
        <w:rPr>
          <w:spacing w:val="30"/>
          <w:sz w:val="28"/>
          <w:szCs w:val="28"/>
        </w:rPr>
      </w:r>
      <w:r>
        <w:rPr>
          <w:spacing w:val="30"/>
          <w:sz w:val="28"/>
          <w:szCs w:val="28"/>
        </w:rPr>
      </w:r>
    </w:p>
    <w:p>
      <w:pPr>
        <w:ind w:left="567" w:right="-286"/>
        <w:jc w:val="center"/>
        <w:rPr>
          <w:b/>
          <w:spacing w:val="30"/>
          <w:sz w:val="28"/>
          <w:szCs w:val="28"/>
          <w:lang w:eastAsia="en-US"/>
        </w:rPr>
      </w:pPr>
      <w:r>
        <w:rPr>
          <w:b/>
          <w:spacing w:val="30"/>
          <w:sz w:val="28"/>
          <w:szCs w:val="28"/>
          <w:lang w:eastAsia="en-US"/>
        </w:rPr>
        <w:t xml:space="preserve">КОМИТЕТ ПО СОХРАНЕНИЮ КУЛЬТУРНОГО НАСЛЕДИЯ ЛЕНИНГРАДСКОЙ ОБЛАСТИ</w:t>
      </w:r>
      <w:r>
        <w:rPr>
          <w:b/>
          <w:spacing w:val="30"/>
          <w:sz w:val="28"/>
          <w:szCs w:val="28"/>
          <w:lang w:eastAsia="en-US"/>
        </w:rPr>
      </w:r>
      <w:r>
        <w:rPr>
          <w:b/>
          <w:spacing w:val="30"/>
          <w:sz w:val="28"/>
          <w:szCs w:val="28"/>
          <w:lang w:eastAsia="en-US"/>
        </w:rPr>
      </w:r>
    </w:p>
    <w:p>
      <w:pPr>
        <w:ind w:left="567" w:right="-286"/>
        <w:jc w:val="center"/>
        <w:rPr>
          <w:sz w:val="2"/>
          <w:szCs w:val="28"/>
        </w:rPr>
        <w:pBdr>
          <w:bottom w:val="single" w:color="000000" w:sz="12" w:space="1"/>
        </w:pBdr>
      </w:pPr>
      <w:r>
        <w:rPr>
          <w:sz w:val="2"/>
          <w:szCs w:val="28"/>
        </w:rPr>
      </w:r>
      <w:r>
        <w:rPr>
          <w:sz w:val="2"/>
          <w:szCs w:val="28"/>
        </w:rPr>
      </w:r>
      <w:r>
        <w:rPr>
          <w:sz w:val="2"/>
          <w:szCs w:val="28"/>
        </w:rPr>
      </w:r>
    </w:p>
    <w:p>
      <w:pPr>
        <w:ind w:left="567" w:right="-286"/>
        <w:jc w:val="center"/>
        <w:rPr>
          <w:b/>
          <w:spacing w:val="80"/>
          <w:sz w:val="36"/>
          <w:szCs w:val="36"/>
        </w:rPr>
      </w:pPr>
      <w:r>
        <w:rPr>
          <w:b/>
          <w:spacing w:val="80"/>
          <w:sz w:val="36"/>
          <w:szCs w:val="36"/>
        </w:rPr>
      </w:r>
      <w:r>
        <w:rPr>
          <w:b/>
          <w:spacing w:val="80"/>
          <w:sz w:val="36"/>
          <w:szCs w:val="36"/>
        </w:rPr>
      </w:r>
      <w:r>
        <w:rPr>
          <w:b/>
          <w:spacing w:val="80"/>
          <w:sz w:val="36"/>
          <w:szCs w:val="36"/>
        </w:rPr>
      </w:r>
    </w:p>
    <w:p>
      <w:pPr>
        <w:ind w:left="567" w:right="-28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567" w:right="-286"/>
        <w:jc w:val="center"/>
        <w:tabs>
          <w:tab w:val="right" w:pos="9356" w:leader="none"/>
        </w:tabs>
        <w:rPr>
          <w:sz w:val="36"/>
          <w:szCs w:val="36"/>
        </w:rPr>
      </w:pPr>
      <w:r>
        <w:rPr>
          <w:sz w:val="36"/>
          <w:szCs w:val="36"/>
        </w:rPr>
      </w:r>
      <w:r>
        <w:rPr>
          <w:sz w:val="36"/>
          <w:szCs w:val="36"/>
        </w:rPr>
      </w:r>
      <w:r>
        <w:rPr>
          <w:sz w:val="36"/>
          <w:szCs w:val="36"/>
        </w:rPr>
      </w:r>
    </w:p>
    <w:p>
      <w:pPr>
        <w:jc w:val="right"/>
        <w:tabs>
          <w:tab w:val="right" w:pos="93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«__</w:t>
      </w:r>
      <w:r>
        <w:rPr>
          <w:sz w:val="28"/>
          <w:szCs w:val="28"/>
        </w:rPr>
        <w:t xml:space="preserve">_»_</w:t>
      </w:r>
      <w:r>
        <w:rPr>
          <w:sz w:val="28"/>
          <w:szCs w:val="28"/>
        </w:rPr>
        <w:t xml:space="preserve">___________2026 г.                                                        №________________        Санкт-Петербург</w:t>
      </w:r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</w:r>
      <w:r>
        <w:rPr>
          <w:sz w:val="36"/>
          <w:szCs w:val="36"/>
          <w:u w:val="single"/>
        </w:rPr>
      </w:r>
      <w:r>
        <w:rPr>
          <w:sz w:val="36"/>
          <w:szCs w:val="36"/>
          <w:u w:val="single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включении выявленного объекта культурного наследия </w:t>
      </w:r>
      <w:r>
        <w:rPr>
          <w:b/>
          <w:sz w:val="28"/>
          <w:szCs w:val="28"/>
        </w:rPr>
        <w:br/>
        <w:t xml:space="preserve">«</w:t>
      </w:r>
      <w:bookmarkStart w:id="1" w:name="_Hlk238759991"/>
      <w:r>
        <w:rPr>
          <w:b/>
          <w:bCs/>
          <w:sz w:val="28"/>
          <w:szCs w:val="28"/>
        </w:rPr>
        <w:t xml:space="preserve">Кирха</w:t>
      </w:r>
      <w:bookmarkEnd w:id="1"/>
      <w:r>
        <w:rPr>
          <w:b/>
          <w:bCs/>
          <w:sz w:val="28"/>
          <w:szCs w:val="28"/>
        </w:rPr>
        <w:t xml:space="preserve">», расположенного по адресу: </w:t>
      </w:r>
      <w:r>
        <w:rPr>
          <w:b/>
          <w:bCs/>
          <w:sz w:val="28"/>
          <w:szCs w:val="28"/>
        </w:rPr>
        <w:t xml:space="preserve">Ленинградская область, Приозерский район, д. </w:t>
      </w:r>
      <w:r>
        <w:rPr>
          <w:b/>
          <w:bCs/>
          <w:sz w:val="28"/>
          <w:szCs w:val="28"/>
        </w:rPr>
        <w:t xml:space="preserve">Севастьяново</w:t>
      </w:r>
      <w:r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 xml:space="preserve">Богатыревская</w:t>
      </w:r>
      <w:r>
        <w:rPr>
          <w:b/>
          <w:bCs/>
          <w:sz w:val="28"/>
          <w:szCs w:val="28"/>
        </w:rPr>
        <w:t xml:space="preserve"> в.,</w:t>
      </w:r>
      <w:r>
        <w:rPr>
          <w:b/>
          <w:sz w:val="28"/>
          <w:szCs w:val="28"/>
        </w:rPr>
        <w:t xml:space="preserve">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</w:t>
      </w:r>
      <w:r>
        <w:rPr>
          <w:b/>
          <w:sz w:val="28"/>
          <w:szCs w:val="28"/>
        </w:rPr>
        <w:t xml:space="preserve">регионального </w:t>
      </w:r>
      <w:r>
        <w:rPr>
          <w:b/>
          <w:sz w:val="28"/>
          <w:szCs w:val="28"/>
        </w:rPr>
        <w:t xml:space="preserve">значения </w:t>
      </w:r>
      <w:r>
        <w:rPr>
          <w:b/>
          <w:sz w:val="28"/>
          <w:szCs w:val="28"/>
        </w:rPr>
        <w:t xml:space="preserve">с наименованием </w:t>
      </w:r>
      <w:r>
        <w:rPr>
          <w:b/>
          <w:sz w:val="28"/>
          <w:szCs w:val="28"/>
        </w:rPr>
        <w:t xml:space="preserve">«Кирха Каукола»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расположенного по адресу: </w:t>
      </w:r>
      <w:r>
        <w:rPr>
          <w:b/>
          <w:sz w:val="28"/>
          <w:szCs w:val="28"/>
        </w:rPr>
        <w:t xml:space="preserve">Ленинградская область, Приозерский муниципальный район, Севастьяновское сельское поселение, поселок Севастьяново, улица Клубная, здание 12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утверждении границ территории и предмета охраны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3.1, 5.1, 9.2, 18, 33 Федерального закона</w:t>
        <w:br/>
        <w:t xml:space="preserve"> </w:t>
      </w:r>
      <w:r>
        <w:rPr>
          <w:sz w:val="28"/>
          <w:szCs w:val="28"/>
        </w:rPr>
        <w:t xml:space="preserve">от 25 июня 2002 года № 73-ФЗ «Об объектах культурного наследия (памятниках истории  и культуры) народов Российской Федерации», статьей 4 Областного  закона Ленинградской об</w:t>
      </w:r>
      <w:r>
        <w:rPr>
          <w:sz w:val="28"/>
          <w:szCs w:val="28"/>
        </w:rPr>
        <w:t xml:space="preserve">ласти от 25 декабря 2015 года </w:t>
      </w:r>
      <w:r>
        <w:rPr>
          <w:sz w:val="28"/>
          <w:szCs w:val="28"/>
        </w:rPr>
        <w:t xml:space="preserve">№ 140-оз </w:t>
        <w:br/>
        <w:t xml:space="preserve">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области», пост</w:t>
      </w:r>
      <w:r>
        <w:rPr>
          <w:sz w:val="28"/>
          <w:szCs w:val="28"/>
        </w:rPr>
        <w:t xml:space="preserve">ан</w:t>
      </w:r>
      <w:r>
        <w:rPr>
          <w:sz w:val="28"/>
          <w:szCs w:val="28"/>
        </w:rPr>
        <w:t xml:space="preserve">овлением Правительства Ленинградской области от 21 декабря 2020 года</w:t>
        <w:br/>
        <w:t xml:space="preserve">№ 839 «Об органах исполнительной власти Ленинградской области в сфере культуры и туризма», Положением о едином государственном реестре объектов культурного наследия (памятников истории </w:t>
      </w:r>
      <w:r>
        <w:rPr>
          <w:sz w:val="28"/>
          <w:szCs w:val="28"/>
        </w:rPr>
        <w:t xml:space="preserve">и культуры) народов Российской Федерации, утвержде</w:t>
      </w:r>
      <w:r>
        <w:rPr>
          <w:sz w:val="28"/>
          <w:szCs w:val="28"/>
        </w:rPr>
        <w:t xml:space="preserve">нным приказом Министерств</w:t>
      </w:r>
      <w:r>
        <w:rPr>
          <w:sz w:val="28"/>
          <w:szCs w:val="28"/>
        </w:rPr>
        <w:t xml:space="preserve">а культуры Российской Федерации от 3 октября 2011 года № 954, подпунктами 2.1.2, 2.3.7 Положения</w:t>
        <w:br/>
        <w:t xml:space="preserve">о комитете по сохранению культурного наследия Ленинградской области, утвержденного постановлением Правительства Ленинградской области</w:t>
        <w:br/>
      </w:r>
      <w:r>
        <w:rPr>
          <w:sz w:val="28"/>
          <w:szCs w:val="28"/>
        </w:rPr>
        <w:t xml:space="preserve">от 24 декабря 2020 года № 850, на основании положительного заключения государственной историко-культурной экспертизы, </w:t>
      </w:r>
      <w:r>
        <w:rPr>
          <w:sz w:val="28"/>
          <w:szCs w:val="28"/>
        </w:rPr>
        <w:t xml:space="preserve">выполненной экспертной организацией обществом с ограниченной ответственностью </w:t>
      </w:r>
      <w:r>
        <w:rPr>
          <w:sz w:val="28"/>
          <w:szCs w:val="28"/>
        </w:rPr>
        <w:t xml:space="preserve">«Союз Экспертов Северо-Запада» в 2026 году,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приказываю: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20"/>
        <w:numPr>
          <w:ilvl w:val="0"/>
          <w:numId w:val="1"/>
        </w:numPr>
        <w:ind w:left="0" w:firstLine="709"/>
        <w:jc w:val="both"/>
        <w:widowControl w:val="off"/>
        <w:tabs>
          <w:tab w:val="left" w:pos="425" w:leader="none"/>
          <w:tab w:val="clear" w:pos="1260" w:leader="none"/>
        </w:tabs>
      </w:pPr>
      <w:r>
        <w:rPr>
          <w:sz w:val="28"/>
          <w:szCs w:val="28"/>
        </w:rPr>
        <w:t xml:space="preserve">Включить выявленный объект культурного наследия «</w:t>
      </w:r>
      <w:r>
        <w:rPr>
          <w:sz w:val="28"/>
          <w:szCs w:val="28"/>
        </w:rPr>
        <w:t xml:space="preserve">Кирха</w:t>
      </w:r>
      <w:r>
        <w:rPr>
          <w:sz w:val="28"/>
          <w:szCs w:val="28"/>
        </w:rPr>
        <w:t xml:space="preserve">», расположенн</w:t>
      </w:r>
      <w:r>
        <w:rPr>
          <w:sz w:val="28"/>
          <w:szCs w:val="28"/>
        </w:rPr>
        <w:t xml:space="preserve">ый</w:t>
      </w:r>
      <w:r>
        <w:rPr>
          <w:sz w:val="28"/>
          <w:szCs w:val="28"/>
        </w:rPr>
        <w:t xml:space="preserve"> по адресу: </w:t>
      </w:r>
      <w:r>
        <w:rPr>
          <w:sz w:val="28"/>
          <w:szCs w:val="28"/>
        </w:rPr>
        <w:t xml:space="preserve">Ленинградская область, Приозерский район, </w:t>
        <w:br/>
      </w:r>
      <w:r>
        <w:rPr>
          <w:sz w:val="28"/>
          <w:szCs w:val="28"/>
        </w:rPr>
        <w:t xml:space="preserve">д. </w:t>
      </w:r>
      <w:r>
        <w:rPr>
          <w:sz w:val="28"/>
          <w:szCs w:val="28"/>
        </w:rPr>
        <w:t xml:space="preserve">Севастьяново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Богатыревская</w:t>
      </w:r>
      <w:r>
        <w:rPr>
          <w:sz w:val="28"/>
          <w:szCs w:val="28"/>
        </w:rPr>
        <w:t xml:space="preserve"> в.</w:t>
      </w:r>
      <w:r>
        <w:rPr>
          <w:sz w:val="28"/>
          <w:szCs w:val="28"/>
        </w:rPr>
        <w:t xml:space="preserve">,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</w:t>
      </w:r>
      <w:r>
        <w:rPr>
          <w:sz w:val="28"/>
          <w:szCs w:val="28"/>
        </w:rPr>
        <w:t xml:space="preserve">регионального</w:t>
      </w:r>
      <w:r>
        <w:rPr>
          <w:sz w:val="28"/>
          <w:szCs w:val="28"/>
        </w:rPr>
        <w:t xml:space="preserve"> значения </w:t>
        <w:br/>
      </w:r>
      <w:r>
        <w:rPr>
          <w:sz w:val="28"/>
          <w:szCs w:val="28"/>
        </w:rPr>
        <w:t xml:space="preserve">с наименованием «</w:t>
      </w:r>
      <w:r>
        <w:rPr>
          <w:sz w:val="28"/>
          <w:szCs w:val="28"/>
        </w:rPr>
        <w:t xml:space="preserve">Кирха </w:t>
      </w:r>
      <w:r>
        <w:rPr>
          <w:sz w:val="28"/>
          <w:szCs w:val="28"/>
        </w:rPr>
        <w:t xml:space="preserve">Каукола</w:t>
      </w:r>
      <w:r>
        <w:rPr>
          <w:sz w:val="28"/>
          <w:szCs w:val="28"/>
        </w:rPr>
        <w:t xml:space="preserve">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19</w:t>
      </w:r>
      <w:r>
        <w:rPr>
          <w:sz w:val="28"/>
          <w:szCs w:val="28"/>
        </w:rPr>
        <w:t xml:space="preserve">33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г., </w:t>
      </w:r>
      <w:r>
        <w:rPr>
          <w:sz w:val="28"/>
          <w:szCs w:val="28"/>
        </w:rPr>
        <w:t xml:space="preserve">расположенного </w:t>
      </w:r>
      <w:r>
        <w:rPr>
          <w:bCs/>
          <w:sz w:val="28"/>
          <w:szCs w:val="28"/>
        </w:rPr>
        <w:t xml:space="preserve">по адресу:</w:t>
      </w:r>
      <w:r>
        <w:rPr>
          <w:rFonts w:ascii="TimesNewRomanPSMT" w:hAnsi="TimesNewRomanPSMT" w:cs="TimesNewRomanPSMT"/>
          <w:sz w:val="27"/>
          <w:szCs w:val="27"/>
          <w:lang w:eastAsia="zh-CN"/>
        </w:rPr>
        <w:t xml:space="preserve"> </w:t>
      </w:r>
      <w:bookmarkStart w:id="2" w:name="_Hlk239004115"/>
      <w:r>
        <w:rPr>
          <w:bCs/>
          <w:sz w:val="28"/>
          <w:szCs w:val="28"/>
        </w:rPr>
        <w:t xml:space="preserve">Ленинградская область, Приозерский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муниципальный район, </w:t>
      </w:r>
      <w:r>
        <w:rPr>
          <w:bCs/>
          <w:sz w:val="28"/>
          <w:szCs w:val="28"/>
        </w:rPr>
        <w:t xml:space="preserve">Севастьяновское</w:t>
      </w:r>
      <w:r>
        <w:rPr>
          <w:bCs/>
          <w:sz w:val="28"/>
          <w:szCs w:val="28"/>
        </w:rPr>
        <w:t xml:space="preserve"> сельское поселение, поселок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Севастьяново</w:t>
      </w:r>
      <w:r>
        <w:rPr>
          <w:bCs/>
          <w:sz w:val="28"/>
          <w:szCs w:val="28"/>
        </w:rPr>
        <w:t xml:space="preserve">, улица Клубная, здание 12</w:t>
      </w:r>
      <w:bookmarkEnd w:id="2"/>
      <w:r>
        <w:rPr>
          <w:bCs/>
          <w:sz w:val="28"/>
          <w:szCs w:val="28"/>
        </w:rPr>
        <w:t xml:space="preserve">,</w:t>
      </w:r>
      <w:r>
        <w:rPr>
          <w:bCs/>
          <w:sz w:val="28"/>
          <w:szCs w:val="28"/>
        </w:rPr>
        <w:t xml:space="preserve"> </w:t>
        <w:br/>
      </w:r>
      <w:r>
        <w:rPr>
          <w:sz w:val="28"/>
          <w:szCs w:val="28"/>
        </w:rPr>
        <w:t xml:space="preserve">вид</w:t>
      </w:r>
      <w:r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памятник.</w:t>
      </w:r>
      <w:r/>
    </w:p>
    <w:p>
      <w:pPr>
        <w:numPr>
          <w:ilvl w:val="0"/>
          <w:numId w:val="1"/>
        </w:numPr>
        <w:ind w:left="0" w:firstLine="709"/>
        <w:jc w:val="both"/>
        <w:tabs>
          <w:tab w:val="left" w:pos="425" w:leader="none"/>
          <w:tab w:val="clear" w:pos="1260" w:leader="none"/>
        </w:tabs>
      </w:pPr>
      <w:r>
        <w:rPr>
          <w:sz w:val="28"/>
          <w:szCs w:val="28"/>
        </w:rPr>
        <w:t xml:space="preserve">Утвердить границы территории объекта культурного наследия </w:t>
      </w:r>
      <w:bookmarkStart w:id="3" w:name="_Hlk223460418"/>
      <w:r>
        <w:rPr>
          <w:sz w:val="28"/>
          <w:szCs w:val="28"/>
        </w:rPr>
        <w:t xml:space="preserve">регионального </w:t>
      </w:r>
      <w:r>
        <w:rPr>
          <w:sz w:val="28"/>
          <w:szCs w:val="28"/>
        </w:rPr>
        <w:t xml:space="preserve">значения «</w:t>
      </w:r>
      <w:bookmarkStart w:id="4" w:name="_Hlk228820810"/>
      <w:r>
        <w:rPr>
          <w:sz w:val="28"/>
          <w:szCs w:val="28"/>
        </w:rPr>
        <w:t xml:space="preserve">Кирха </w:t>
      </w:r>
      <w:r>
        <w:rPr>
          <w:sz w:val="28"/>
          <w:szCs w:val="28"/>
        </w:rPr>
        <w:t xml:space="preserve">Каукола</w:t>
      </w:r>
      <w:r>
        <w:rPr>
          <w:sz w:val="28"/>
          <w:szCs w:val="28"/>
        </w:rPr>
        <w:t xml:space="preserve">», расположенного </w:t>
      </w:r>
      <w:r>
        <w:rPr>
          <w:sz w:val="28"/>
          <w:szCs w:val="28"/>
        </w:rPr>
        <w:t xml:space="preserve">по адресу: </w:t>
      </w:r>
      <w:bookmarkEnd w:id="3"/>
      <w:r/>
      <w:bookmarkEnd w:id="4"/>
      <w:r>
        <w:rPr>
          <w:bCs/>
          <w:sz w:val="28"/>
          <w:szCs w:val="28"/>
        </w:rPr>
        <w:t xml:space="preserve">Ленинградская область, Приозерский муниципальный район, </w:t>
      </w:r>
      <w:r>
        <w:rPr>
          <w:bCs/>
          <w:sz w:val="28"/>
          <w:szCs w:val="28"/>
        </w:rPr>
        <w:t xml:space="preserve">Севастьяновское</w:t>
      </w:r>
      <w:r>
        <w:rPr>
          <w:bCs/>
          <w:sz w:val="28"/>
          <w:szCs w:val="28"/>
        </w:rPr>
        <w:t xml:space="preserve"> сельское поселение, поселок </w:t>
      </w:r>
      <w:r>
        <w:rPr>
          <w:bCs/>
          <w:sz w:val="28"/>
          <w:szCs w:val="28"/>
        </w:rPr>
        <w:t xml:space="preserve">Севастьяново</w:t>
      </w:r>
      <w:r>
        <w:rPr>
          <w:bCs/>
          <w:sz w:val="28"/>
          <w:szCs w:val="28"/>
        </w:rPr>
        <w:t xml:space="preserve">, улица Клубная, здание 12</w:t>
      </w:r>
      <w:r>
        <w:rPr>
          <w:sz w:val="28"/>
          <w:szCs w:val="28"/>
        </w:rPr>
        <w:t xml:space="preserve">, согласно приложению № 1 к настоящему приказу.</w:t>
      </w:r>
      <w:r/>
    </w:p>
    <w:p>
      <w:pPr>
        <w:numPr>
          <w:ilvl w:val="0"/>
          <w:numId w:val="1"/>
        </w:numPr>
        <w:ind w:left="0" w:firstLine="709"/>
        <w:jc w:val="both"/>
        <w:tabs>
          <w:tab w:val="left" w:pos="425" w:leader="none"/>
          <w:tab w:val="clear" w:pos="1260" w:leader="none"/>
        </w:tabs>
      </w:pPr>
      <w:r>
        <w:rPr>
          <w:sz w:val="28"/>
          <w:szCs w:val="28"/>
        </w:rPr>
        <w:t xml:space="preserve">Утвердить предмет охраны объекта культурного наследия </w:t>
      </w:r>
      <w:bookmarkStart w:id="5" w:name="_Hlk223638452"/>
      <w:r>
        <w:rPr>
          <w:sz w:val="28"/>
          <w:szCs w:val="28"/>
        </w:rPr>
        <w:t xml:space="preserve">регионального</w:t>
      </w:r>
      <w:r>
        <w:rPr>
          <w:sz w:val="28"/>
          <w:szCs w:val="28"/>
        </w:rPr>
        <w:t xml:space="preserve"> </w:t>
      </w:r>
      <w:bookmarkEnd w:id="5"/>
      <w:r>
        <w:rPr>
          <w:sz w:val="28"/>
          <w:szCs w:val="28"/>
        </w:rPr>
        <w:t xml:space="preserve">значения «</w:t>
      </w:r>
      <w:r>
        <w:rPr>
          <w:sz w:val="28"/>
          <w:szCs w:val="28"/>
        </w:rPr>
        <w:t xml:space="preserve">Кирха </w:t>
      </w:r>
      <w:r>
        <w:rPr>
          <w:sz w:val="28"/>
          <w:szCs w:val="28"/>
        </w:rPr>
        <w:t xml:space="preserve">Каукола</w:t>
      </w:r>
      <w:r>
        <w:rPr>
          <w:sz w:val="28"/>
          <w:szCs w:val="28"/>
        </w:rPr>
        <w:t xml:space="preserve">», расположенного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адресу: </w:t>
      </w:r>
      <w:r>
        <w:rPr>
          <w:bCs/>
          <w:sz w:val="28"/>
          <w:szCs w:val="28"/>
        </w:rPr>
        <w:t xml:space="preserve">Ленинградская область, Приозерский муниципальный район, </w:t>
      </w:r>
      <w:r>
        <w:rPr>
          <w:bCs/>
          <w:sz w:val="28"/>
          <w:szCs w:val="28"/>
        </w:rPr>
        <w:t xml:space="preserve">Севастьяновское</w:t>
      </w:r>
      <w:r>
        <w:rPr>
          <w:bCs/>
          <w:sz w:val="28"/>
          <w:szCs w:val="28"/>
        </w:rPr>
        <w:t xml:space="preserve"> сельское поселение, поселок </w:t>
      </w:r>
      <w:r>
        <w:rPr>
          <w:bCs/>
          <w:sz w:val="28"/>
          <w:szCs w:val="28"/>
        </w:rPr>
        <w:t xml:space="preserve">Севастьяново</w:t>
      </w:r>
      <w:r>
        <w:rPr>
          <w:bCs/>
          <w:sz w:val="28"/>
          <w:szCs w:val="28"/>
        </w:rPr>
        <w:t xml:space="preserve">, улица Клубная, здание 12</w:t>
      </w:r>
      <w:r>
        <w:rPr>
          <w:sz w:val="28"/>
          <w:szCs w:val="28"/>
        </w:rPr>
        <w:t xml:space="preserve">, согласно приложению № 2 к настоящему приказу.</w:t>
      </w:r>
      <w:r/>
    </w:p>
    <w:p>
      <w:pPr>
        <w:numPr>
          <w:ilvl w:val="0"/>
          <w:numId w:val="1"/>
        </w:numPr>
        <w:ind w:left="0" w:firstLine="709"/>
        <w:jc w:val="both"/>
        <w:tabs>
          <w:tab w:val="left" w:pos="425" w:leader="none"/>
          <w:tab w:val="clear" w:pos="1260" w:leader="none"/>
        </w:tabs>
      </w:pPr>
      <w:r>
        <w:rPr>
          <w:sz w:val="28"/>
          <w:szCs w:val="28"/>
        </w:rPr>
        <w:t xml:space="preserve">Исключить выявленный объект культурного наследия «</w:t>
      </w:r>
      <w:r>
        <w:rPr>
          <w:bCs/>
          <w:sz w:val="28"/>
          <w:szCs w:val="28"/>
        </w:rPr>
        <w:t xml:space="preserve">Кирха</w:t>
      </w:r>
      <w:r>
        <w:rPr>
          <w:bCs/>
          <w:sz w:val="28"/>
          <w:szCs w:val="28"/>
        </w:rPr>
        <w:t xml:space="preserve">», расположенный по адресу: </w:t>
      </w:r>
      <w:r>
        <w:rPr>
          <w:bCs/>
          <w:sz w:val="28"/>
          <w:szCs w:val="28"/>
        </w:rPr>
        <w:t xml:space="preserve">Ленинградская область, Приозерский район, </w:t>
        <w:br/>
      </w:r>
      <w:r>
        <w:rPr>
          <w:bCs/>
          <w:sz w:val="28"/>
          <w:szCs w:val="28"/>
        </w:rPr>
        <w:t xml:space="preserve">д. </w:t>
      </w:r>
      <w:r>
        <w:rPr>
          <w:bCs/>
          <w:sz w:val="28"/>
          <w:szCs w:val="28"/>
        </w:rPr>
        <w:t xml:space="preserve">Севастьяново</w:t>
      </w:r>
      <w:r>
        <w:rPr>
          <w:bCs/>
          <w:sz w:val="28"/>
          <w:szCs w:val="28"/>
        </w:rPr>
        <w:t xml:space="preserve">,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Б</w:t>
      </w:r>
      <w:r>
        <w:rPr>
          <w:bCs/>
          <w:sz w:val="28"/>
          <w:szCs w:val="28"/>
        </w:rPr>
        <w:t xml:space="preserve">огатыревская</w:t>
      </w:r>
      <w:r>
        <w:rPr>
          <w:bCs/>
          <w:sz w:val="28"/>
          <w:szCs w:val="28"/>
        </w:rPr>
        <w:t xml:space="preserve"> в.</w:t>
      </w:r>
      <w:r>
        <w:rPr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из Перечня выявленных объектов культурного наследия, расположенных на территории Ленинградской области, </w:t>
      </w:r>
      <w:r>
        <w:rPr>
          <w:bCs/>
          <w:sz w:val="28"/>
          <w:szCs w:val="28"/>
        </w:rPr>
        <w:t xml:space="preserve">утвержденного </w:t>
      </w:r>
      <w:r>
        <w:rPr>
          <w:bCs/>
          <w:sz w:val="28"/>
          <w:szCs w:val="28"/>
        </w:rPr>
        <w:t xml:space="preserve">приказом комитета по сохранению культурного наследия Ленинградской области     </w:t>
      </w:r>
      <w:r>
        <w:rPr>
          <w:bCs/>
          <w:sz w:val="28"/>
          <w:szCs w:val="28"/>
        </w:rPr>
        <w:t xml:space="preserve">от 01 декабря 2015 года № 01-03/15-63 (п. </w:t>
      </w:r>
      <w:r>
        <w:rPr>
          <w:bCs/>
          <w:sz w:val="28"/>
          <w:szCs w:val="28"/>
        </w:rPr>
        <w:t xml:space="preserve">1775</w:t>
      </w:r>
      <w:r>
        <w:rPr>
          <w:bCs/>
          <w:sz w:val="28"/>
          <w:szCs w:val="28"/>
        </w:rPr>
        <w:t xml:space="preserve">).</w:t>
      </w:r>
      <w:r/>
    </w:p>
    <w:p>
      <w:pPr>
        <w:ind w:firstLine="851"/>
        <w:jc w:val="both"/>
        <w:tabs>
          <w:tab w:val="left" w:pos="425" w:leader="none"/>
        </w:tabs>
      </w:pPr>
      <w:r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Отделу по осуществлению полномочий Ленинградской области в сфере объектов культурного наследия комитета по сохранению культурного наследия Ленинградской области обеспечить:</w:t>
      </w:r>
      <w:r/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внесение сведений об объекте культурного наследия </w:t>
      </w:r>
      <w:r>
        <w:rPr>
          <w:sz w:val="28"/>
          <w:szCs w:val="28"/>
        </w:rPr>
        <w:t xml:space="preserve">регионального</w:t>
      </w:r>
      <w:r>
        <w:rPr>
          <w:sz w:val="28"/>
          <w:szCs w:val="28"/>
        </w:rPr>
        <w:t xml:space="preserve"> значения, указанном в п. 1 настоящего приказа, в единый государственный реестр объектов культурного наследия (памятников истории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культуры) народов Российской Федерации;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направление копии настоящего приказа в сроки, установленные действующим законодательством, в территориальный орган федерального органа исполнительной власти, уполномоченного Правител</w:t>
      </w:r>
      <w:r>
        <w:rPr>
          <w:sz w:val="28"/>
          <w:szCs w:val="28"/>
        </w:rPr>
        <w:t xml:space="preserve">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направление письменного уведомления собственнику или иному законному владельцу объекта культурного наследия </w:t>
      </w:r>
      <w:r>
        <w:rPr>
          <w:sz w:val="28"/>
          <w:szCs w:val="28"/>
        </w:rPr>
        <w:t xml:space="preserve">регионального</w:t>
      </w:r>
      <w:r>
        <w:rPr>
          <w:sz w:val="28"/>
          <w:szCs w:val="28"/>
        </w:rPr>
        <w:t xml:space="preserve"> значения, земельного участка в границах территории объекта культурного наследия </w:t>
      </w:r>
      <w:r>
        <w:rPr>
          <w:sz w:val="28"/>
          <w:szCs w:val="28"/>
        </w:rPr>
        <w:t xml:space="preserve">регионального</w:t>
      </w:r>
      <w:r>
        <w:rPr>
          <w:sz w:val="28"/>
          <w:szCs w:val="28"/>
        </w:rPr>
        <w:t xml:space="preserve"> значения, указанного в п.1 настоящего приказа</w:t>
      </w:r>
      <w:r>
        <w:rPr>
          <w:sz w:val="28"/>
          <w:szCs w:val="27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Сектору делопроизводства и информационного обеспечения комитета </w:t>
      </w:r>
      <w:r>
        <w:rPr>
          <w:sz w:val="28"/>
          <w:szCs w:val="28"/>
        </w:rPr>
        <w:br/>
        <w:t xml:space="preserve">по сохранению культурного наследия Ленинградской области обеспечить размещение настоящего приказа в сетевом издании «Электронное опубликование документов» в информационно-телекоммуникационной сети «Интернет».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Контроль за исполнением настоящего приказа </w:t>
      </w:r>
      <w:r>
        <w:rPr>
          <w:sz w:val="28"/>
          <w:szCs w:val="28"/>
        </w:rPr>
        <w:t xml:space="preserve">возложить на заместителя председателя комитета по сохранению культурного наследия Ленинградской области, осуществляющего полномочия в сфере сохранения, использования, популяризации и государственной охраны объектов культурного наследия.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8. Настоящий приказ вступает в силу со дня его официального опубликования.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314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51"/>
        <w:gridCol w:w="4963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51" w:type="dxa"/>
            <w:vAlign w:val="top"/>
            <w:textDirection w:val="lrTb"/>
            <w:noWrap w:val="false"/>
          </w:tcPr>
          <w:p>
            <w:pPr>
              <w:pStyle w:val="729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 xml:space="preserve">председателя комитета </w:t>
              <w:br/>
            </w:r>
            <w:r>
              <w:rPr>
                <w:sz w:val="28"/>
                <w:szCs w:val="28"/>
              </w:rPr>
              <w:t xml:space="preserve">по сохранению </w:t>
            </w:r>
            <w:r>
              <w:rPr>
                <w:sz w:val="28"/>
                <w:szCs w:val="28"/>
              </w:rPr>
              <w:t xml:space="preserve">культурного наследия </w:t>
            </w:r>
            <w:r>
              <w:rPr>
                <w:sz w:val="28"/>
                <w:szCs w:val="28"/>
              </w:rPr>
              <w:t xml:space="preserve">Ленинградской области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3" w:type="dxa"/>
            <w:vAlign w:val="top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Г.Е. Лазарева</w:t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right"/>
        <w:rPr>
          <w:sz w:val="26"/>
          <w:szCs w:val="26"/>
        </w:rPr>
        <w:sectPr>
          <w:footnotePr/>
          <w:endnotePr/>
          <w:type w:val="nextPage"/>
          <w:pgSz w:w="11906" w:h="16838" w:orient="portrait"/>
          <w:pgMar w:top="1134" w:right="737" w:bottom="1134" w:left="1134" w:header="709" w:footer="709" w:gutter="0"/>
          <w:cols w:num="1" w:sep="0" w:space="708" w:equalWidth="1"/>
          <w:docGrid w:linePitch="360"/>
        </w:sect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4820"/>
        <w:jc w:val="right"/>
        <w:pageBreakBefore/>
        <w:rPr>
          <w:sz w:val="27"/>
          <w:szCs w:val="27"/>
        </w:rPr>
      </w:pPr>
      <w:r>
        <w:rPr>
          <w:sz w:val="27"/>
          <w:szCs w:val="27"/>
        </w:rPr>
        <w:t xml:space="preserve">Приложение № 1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contextualSpacing/>
        <w:ind w:left="4820"/>
        <w:jc w:val="right"/>
        <w:rPr>
          <w:sz w:val="27"/>
          <w:szCs w:val="27"/>
        </w:rPr>
      </w:pPr>
      <w:r>
        <w:rPr>
          <w:sz w:val="27"/>
          <w:szCs w:val="27"/>
        </w:rPr>
        <w:t xml:space="preserve">к приказу комитета по сохранению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contextualSpacing/>
        <w:ind w:left="4820"/>
        <w:jc w:val="right"/>
        <w:rPr>
          <w:sz w:val="27"/>
          <w:szCs w:val="27"/>
        </w:rPr>
      </w:pPr>
      <w:r>
        <w:rPr>
          <w:sz w:val="27"/>
          <w:szCs w:val="27"/>
        </w:rPr>
        <w:t xml:space="preserve">культурного наследия Ленинградской области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contextualSpacing/>
        <w:ind w:left="0"/>
        <w:jc w:val="left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от «___» __________ 2026 года №_______________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contextualSpacing/>
        <w:ind w:left="482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contextualSpacing/>
        <w:jc w:val="center"/>
        <w:tabs>
          <w:tab w:val="left" w:pos="2940" w:leader="none"/>
        </w:tabs>
        <w:rPr>
          <w:b/>
          <w:bCs/>
          <w:sz w:val="28"/>
          <w:szCs w:val="27"/>
        </w:rPr>
      </w:pPr>
      <w:r>
        <w:rPr>
          <w:b/>
          <w:bCs/>
          <w:sz w:val="28"/>
          <w:szCs w:val="27"/>
        </w:rPr>
        <w:t xml:space="preserve">Г</w:t>
      </w:r>
      <w:r>
        <w:rPr>
          <w:b/>
          <w:bCs/>
          <w:sz w:val="28"/>
          <w:szCs w:val="27"/>
        </w:rPr>
        <w:t xml:space="preserve">раниц</w:t>
      </w:r>
      <w:r>
        <w:rPr>
          <w:b/>
          <w:bCs/>
          <w:sz w:val="28"/>
          <w:szCs w:val="27"/>
        </w:rPr>
        <w:t xml:space="preserve">ы</w:t>
      </w:r>
      <w:r>
        <w:rPr>
          <w:b/>
          <w:bCs/>
          <w:sz w:val="28"/>
          <w:szCs w:val="27"/>
        </w:rPr>
        <w:t xml:space="preserve"> территории объекта культурного наследия регионального</w:t>
      </w:r>
      <w:r>
        <w:rPr>
          <w:b/>
          <w:bCs/>
          <w:sz w:val="28"/>
          <w:szCs w:val="27"/>
        </w:rPr>
      </w:r>
      <w:r>
        <w:rPr>
          <w:b/>
          <w:bCs/>
          <w:sz w:val="28"/>
          <w:szCs w:val="27"/>
        </w:rPr>
      </w:r>
    </w:p>
    <w:p>
      <w:pPr>
        <w:contextualSpacing/>
        <w:jc w:val="center"/>
        <w:tabs>
          <w:tab w:val="left" w:pos="2940" w:leader="none"/>
        </w:tabs>
        <w:rPr>
          <w:b/>
          <w:bCs/>
          <w:sz w:val="28"/>
          <w:szCs w:val="27"/>
        </w:rPr>
      </w:pPr>
      <w:r>
        <w:rPr>
          <w:b/>
          <w:bCs/>
          <w:sz w:val="28"/>
          <w:szCs w:val="27"/>
        </w:rPr>
        <w:t xml:space="preserve">значения </w:t>
      </w:r>
      <w:r>
        <w:rPr>
          <w:b/>
          <w:bCs/>
          <w:sz w:val="28"/>
          <w:szCs w:val="27"/>
        </w:rPr>
        <w:t xml:space="preserve">«Кирха </w:t>
      </w:r>
      <w:r>
        <w:rPr>
          <w:b/>
          <w:bCs/>
          <w:sz w:val="28"/>
          <w:szCs w:val="27"/>
        </w:rPr>
        <w:t xml:space="preserve">Каукола</w:t>
      </w:r>
      <w:r>
        <w:rPr>
          <w:b/>
          <w:bCs/>
          <w:sz w:val="28"/>
          <w:szCs w:val="27"/>
        </w:rPr>
        <w:t xml:space="preserve">», расположенного по адресу: Ленинградская</w:t>
      </w:r>
      <w:r>
        <w:rPr>
          <w:b/>
          <w:bCs/>
          <w:sz w:val="28"/>
          <w:szCs w:val="27"/>
        </w:rPr>
      </w:r>
      <w:r>
        <w:rPr>
          <w:b/>
          <w:bCs/>
          <w:sz w:val="28"/>
          <w:szCs w:val="27"/>
        </w:rPr>
      </w:r>
    </w:p>
    <w:p>
      <w:pPr>
        <w:contextualSpacing/>
        <w:jc w:val="center"/>
        <w:tabs>
          <w:tab w:val="left" w:pos="2940" w:leader="none"/>
        </w:tabs>
        <w:rPr>
          <w:b/>
          <w:bCs/>
          <w:sz w:val="28"/>
          <w:szCs w:val="27"/>
        </w:rPr>
      </w:pPr>
      <w:r>
        <w:rPr>
          <w:b/>
          <w:bCs/>
          <w:sz w:val="28"/>
          <w:szCs w:val="27"/>
        </w:rPr>
        <w:t xml:space="preserve">область, Приозерский муниципальный район, </w:t>
      </w:r>
      <w:r>
        <w:rPr>
          <w:b/>
          <w:bCs/>
          <w:sz w:val="28"/>
          <w:szCs w:val="27"/>
        </w:rPr>
        <w:t xml:space="preserve">Севастьяновское</w:t>
      </w:r>
      <w:r>
        <w:rPr>
          <w:b/>
          <w:bCs/>
          <w:sz w:val="28"/>
          <w:szCs w:val="27"/>
        </w:rPr>
        <w:t xml:space="preserve"> сельское</w:t>
      </w:r>
      <w:r>
        <w:rPr>
          <w:b/>
          <w:bCs/>
          <w:sz w:val="28"/>
          <w:szCs w:val="27"/>
        </w:rPr>
      </w:r>
      <w:r>
        <w:rPr>
          <w:b/>
          <w:bCs/>
          <w:sz w:val="28"/>
          <w:szCs w:val="27"/>
        </w:rPr>
      </w:r>
    </w:p>
    <w:p>
      <w:pPr>
        <w:contextualSpacing/>
        <w:jc w:val="center"/>
        <w:tabs>
          <w:tab w:val="left" w:pos="2940" w:leader="none"/>
        </w:tabs>
        <w:rPr>
          <w:b/>
          <w:bCs/>
          <w:sz w:val="28"/>
          <w:szCs w:val="27"/>
        </w:rPr>
      </w:pPr>
      <w:r>
        <w:rPr>
          <w:b/>
          <w:bCs/>
          <w:sz w:val="28"/>
          <w:szCs w:val="27"/>
        </w:rPr>
        <w:t xml:space="preserve">поселение, поселок </w:t>
      </w:r>
      <w:r>
        <w:rPr>
          <w:b/>
          <w:bCs/>
          <w:sz w:val="28"/>
          <w:szCs w:val="27"/>
        </w:rPr>
        <w:t xml:space="preserve">Севастьяново</w:t>
      </w:r>
      <w:r>
        <w:rPr>
          <w:b/>
          <w:bCs/>
          <w:sz w:val="28"/>
          <w:szCs w:val="27"/>
        </w:rPr>
        <w:t xml:space="preserve">, улица Клубная, здание </w:t>
      </w:r>
      <w:r>
        <w:rPr>
          <w:b/>
          <w:bCs/>
          <w:sz w:val="28"/>
          <w:szCs w:val="27"/>
        </w:rPr>
        <w:t xml:space="preserve">12</w:t>
      </w:r>
      <w:r>
        <w:rPr>
          <w:b/>
          <w:bCs/>
          <w:sz w:val="28"/>
          <w:szCs w:val="27"/>
        </w:rPr>
      </w:r>
      <w:r>
        <w:rPr>
          <w:b/>
          <w:bCs/>
          <w:sz w:val="28"/>
          <w:szCs w:val="27"/>
        </w:rPr>
      </w:r>
    </w:p>
    <w:p>
      <w:pPr>
        <w:contextualSpacing/>
        <w:jc w:val="center"/>
        <w:tabs>
          <w:tab w:val="left" w:pos="2940" w:leader="none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</w:r>
    </w:p>
    <w:p>
      <w:pPr>
        <w:contextualSpacing/>
        <w:jc w:val="center"/>
        <w:tabs>
          <w:tab w:val="left" w:pos="294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contextualSpacing/>
        <w:jc w:val="center"/>
        <w:rPr>
          <w:b/>
          <w:bCs/>
          <w:sz w:val="28"/>
          <w:szCs w:val="27"/>
        </w:rPr>
      </w:pPr>
      <w:r>
        <w:rPr>
          <w:b/>
          <w:sz w:val="28"/>
          <w:szCs w:val="27"/>
        </w:rPr>
        <w:t xml:space="preserve"> </w:t>
      </w:r>
      <w:r>
        <w:rPr>
          <w:b/>
          <w:sz w:val="28"/>
          <w:szCs w:val="27"/>
        </w:rPr>
        <w:t xml:space="preserve">Карта (схема) границ территории</w:t>
      </w:r>
      <w:r>
        <w:rPr>
          <w:b/>
          <w:sz w:val="28"/>
          <w:szCs w:val="27"/>
        </w:rPr>
        <w:t xml:space="preserve"> </w:t>
      </w:r>
      <w:r>
        <w:rPr>
          <w:b/>
          <w:sz w:val="28"/>
          <w:szCs w:val="27"/>
        </w:rPr>
        <w:t xml:space="preserve">объекта культурного наследия</w:t>
      </w:r>
      <w:r>
        <w:rPr>
          <w:b/>
          <w:bCs/>
          <w:sz w:val="28"/>
          <w:szCs w:val="27"/>
        </w:rPr>
      </w:r>
      <w:r>
        <w:rPr>
          <w:b/>
          <w:bCs/>
          <w:sz w:val="28"/>
          <w:szCs w:val="27"/>
        </w:rPr>
      </w:r>
    </w:p>
    <w:p>
      <w:pPr>
        <w:contextualSpacing/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center"/>
        <w:rPr>
          <w:b/>
          <w:spacing w:val="-1"/>
          <w:sz w:val="26"/>
          <w:szCs w:val="26"/>
        </w:rPr>
      </w:pPr>
      <w:r>
        <w:rPr>
          <w:b/>
          <w:spacing w:val="-1"/>
          <w:sz w:val="26"/>
          <w:szCs w:val="2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53675" cy="4572000"/>
                <wp:effectExtent l="0" t="0" r="0" b="0"/>
                <wp:docPr id="2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386477" cy="460001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21.55pt;height:360.0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b/>
          <w:spacing w:val="-1"/>
          <w:sz w:val="26"/>
          <w:szCs w:val="26"/>
        </w:rPr>
      </w:r>
      <w:r>
        <w:rPr>
          <w:b/>
          <w:spacing w:val="-1"/>
          <w:sz w:val="26"/>
          <w:szCs w:val="26"/>
        </w:rPr>
      </w:r>
    </w:p>
    <w:p>
      <w:pPr>
        <w:jc w:val="center"/>
        <w:rPr>
          <w:b/>
          <w:spacing w:val="-1"/>
          <w:sz w:val="27"/>
          <w:szCs w:val="27"/>
        </w:rPr>
      </w:pPr>
      <w:r>
        <w:rPr>
          <w:b/>
          <w:spacing w:val="-1"/>
          <w:sz w:val="27"/>
          <w:szCs w:val="27"/>
        </w:rPr>
      </w:r>
      <w:r>
        <w:rPr>
          <w:b/>
          <w:spacing w:val="-1"/>
          <w:sz w:val="27"/>
          <w:szCs w:val="27"/>
        </w:rPr>
      </w:r>
      <w:r>
        <w:rPr>
          <w:b/>
          <w:spacing w:val="-1"/>
          <w:sz w:val="27"/>
          <w:szCs w:val="27"/>
        </w:rPr>
      </w:r>
    </w:p>
    <w:p>
      <w:pPr>
        <w:rPr>
          <w:b/>
          <w:bCs/>
          <w:lang w:eastAsia="zh-CN"/>
        </w:rPr>
      </w:pPr>
      <w:r>
        <w:rPr>
          <w:lang w:eastAsia="zh-C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201295</wp:posOffset>
                </wp:positionV>
                <wp:extent cx="358140" cy="220980"/>
                <wp:effectExtent l="0" t="0" r="3810" b="7620"/>
                <wp:wrapThrough wrapText="bothSides">
                  <wp:wrapPolygon edited="1">
                    <wp:start x="0" y="0"/>
                    <wp:lineTo x="0" y="20483"/>
                    <wp:lineTo x="20681" y="20483"/>
                    <wp:lineTo x="20681" y="0"/>
                    <wp:lineTo x="0" y="0"/>
                  </wp:wrapPolygon>
                </wp:wrapThrough>
                <wp:docPr id="3" name="Рисунок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>
                          <a:extLst>
                            <a:ext uri="{96DAC541-7B7A-43D3-8B79-37D633B846F1}">
                              <asvg:svgBlip xmlns:asvg="http://schemas.microsoft.com/office/drawing/2016/SVG/main" r:embed="rId12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35814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-251658240;o:allowoverlap:true;o:allowincell:true;mso-position-horizontal-relative:text;margin-left:2.70pt;mso-position-horizontal:absolute;mso-position-vertical-relative:text;margin-top:15.85pt;mso-position-vertical:absolute;width:28.20pt;height:17.40pt;mso-wrap-distance-left:9.00pt;mso-wrap-distance-top:0.00pt;mso-wrap-distance-right:9.00pt;mso-wrap-distance-bottom:0.00pt;" wrapcoords="0 0 0 94829 95745 94829 95745 0 0 0" stroked="f">
                <v:path textboxrect="0,0,0,0"/>
                <w10:wrap type="through"/>
                <v:imagedata r:id="rId11" o:title=""/>
              </v:shape>
            </w:pict>
          </mc:Fallback>
        </mc:AlternateContent>
      </w:r>
      <w:r>
        <w:rPr>
          <w:b/>
          <w:bCs/>
          <w:lang w:eastAsia="zh-CN"/>
        </w:rPr>
        <w:t xml:space="preserve">Условные обозначения:</w:t>
      </w:r>
      <w:r>
        <w:rPr>
          <w:b/>
          <w:bCs/>
          <w:lang w:eastAsia="zh-CN"/>
        </w:rPr>
      </w:r>
      <w:r>
        <w:rPr>
          <w:b/>
          <w:bCs/>
          <w:lang w:eastAsia="zh-CN"/>
        </w:rPr>
      </w:r>
    </w:p>
    <w:p>
      <w:pPr>
        <w:rPr>
          <w:b/>
          <w:bCs/>
          <w:lang w:eastAsia="zh-CN"/>
        </w:rPr>
      </w:pPr>
      <w:r>
        <w:rPr>
          <w:lang w:eastAsia="zh-CN"/>
        </w:rPr>
        <w:t xml:space="preserve"> </w:t>
      </w:r>
      <w:r>
        <w:rPr>
          <w:lang w:eastAsia="zh-CN"/>
        </w:rPr>
        <w:t xml:space="preserve">- граница территории объекта культурного наследия регионального значения</w:t>
      </w:r>
      <w:r>
        <w:rPr>
          <w:b/>
          <w:bCs/>
          <w:lang w:eastAsia="zh-CN"/>
        </w:rPr>
      </w:r>
      <w:r>
        <w:rPr>
          <w:b/>
          <w:bCs/>
          <w:lang w:eastAsia="zh-CN"/>
        </w:rPr>
      </w:r>
    </w:p>
    <w:p>
      <w:pPr>
        <w:jc w:val="both"/>
        <w:rPr>
          <w:lang w:eastAsia="zh-CN"/>
        </w:rPr>
      </w:pPr>
      <w:r>
        <w:rPr>
          <w:lang w:eastAsia="zh-C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30696</wp:posOffset>
                </wp:positionH>
                <wp:positionV relativeFrom="paragraph">
                  <wp:posOffset>172720</wp:posOffset>
                </wp:positionV>
                <wp:extent cx="389890" cy="231775"/>
                <wp:effectExtent l="0" t="0" r="0" b="0"/>
                <wp:wrapTight wrapText="bothSides">
                  <wp:wrapPolygon edited="1">
                    <wp:start x="0" y="0"/>
                    <wp:lineTo x="0" y="19529"/>
                    <wp:lineTo x="20052" y="19529"/>
                    <wp:lineTo x="20052" y="0"/>
                    <wp:lineTo x="0" y="0"/>
                  </wp:wrapPolygon>
                </wp:wrapTight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389890" cy="231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-251666432;o:allowoverlap:true;o:allowincell:true;mso-position-horizontal-relative:text;margin-left:2.42pt;mso-position-horizontal:absolute;mso-position-vertical-relative:text;margin-top:13.60pt;mso-position-vertical:absolute;width:30.70pt;height:18.25pt;mso-wrap-distance-left:9.00pt;mso-wrap-distance-top:0.00pt;mso-wrap-distance-right:9.00pt;mso-wrap-distance-bottom:0.00pt;" wrapcoords="0 0 0 90412 92833 90412 92833 0 0 0" stroked="false">
                <v:path textboxrect="0,0,0,0"/>
                <w10:wrap type="tight"/>
                <v:imagedata r:id="rId13" o:title=""/>
              </v:shape>
            </w:pict>
          </mc:Fallback>
        </mc:AlternateContent>
      </w:r>
      <w:r>
        <w:rPr>
          <w:lang w:eastAsia="zh-CN"/>
        </w:rPr>
        <w:t xml:space="preserve">  </w:t>
      </w:r>
      <w:r>
        <w:rPr>
          <w:lang w:eastAsia="zh-CN"/>
        </w:rPr>
        <w:t xml:space="preserve">«Кирха </w:t>
      </w:r>
      <w:r>
        <w:rPr>
          <w:lang w:eastAsia="zh-CN"/>
        </w:rPr>
        <w:t xml:space="preserve">Каукола</w:t>
      </w:r>
      <w:r>
        <w:rPr>
          <w:lang w:eastAsia="zh-CN"/>
        </w:rPr>
        <w:t xml:space="preserve">».</w:t>
      </w:r>
      <w:r>
        <w:rPr>
          <w:lang w:eastAsia="zh-CN"/>
        </w:rPr>
      </w:r>
      <w:r>
        <w:rPr>
          <w:lang w:eastAsia="zh-CN"/>
        </w:rPr>
      </w:r>
    </w:p>
    <w:p>
      <w:pPr>
        <w:jc w:val="both"/>
        <w:rPr>
          <w:lang w:eastAsia="zh-CN"/>
        </w:rPr>
      </w:pPr>
      <w:r>
        <w:rPr>
          <w:lang w:eastAsia="zh-CN"/>
        </w:rPr>
        <w:t xml:space="preserve"> - </w:t>
      </w:r>
      <w:r>
        <w:rPr>
          <w:lang w:eastAsia="zh-CN"/>
        </w:rPr>
        <w:t xml:space="preserve">объект культурного наследия регионального значения «Кирха </w:t>
      </w:r>
      <w:bookmarkStart w:id="7" w:name="_Hlk239003093"/>
      <w:r>
        <w:rPr>
          <w:lang w:eastAsia="zh-CN"/>
        </w:rPr>
        <w:t xml:space="preserve">Каукола</w:t>
      </w:r>
      <w:bookmarkEnd w:id="7"/>
      <w:r>
        <w:rPr>
          <w:lang w:eastAsia="zh-CN"/>
        </w:rPr>
        <w:t xml:space="preserve">».</w:t>
      </w:r>
      <w:r>
        <w:rPr>
          <w:lang w:eastAsia="zh-CN"/>
        </w:rPr>
      </w:r>
      <w:r>
        <w:rPr>
          <w:lang w:eastAsia="zh-CN"/>
        </w:rPr>
      </w:r>
    </w:p>
    <w:p>
      <w:pPr>
        <w:jc w:val="center"/>
        <w:rPr>
          <w:b/>
          <w:spacing w:val="-1"/>
          <w:sz w:val="27"/>
          <w:szCs w:val="27"/>
        </w:rPr>
        <w:sectPr>
          <w:footnotePr/>
          <w:endnotePr/>
          <w:type w:val="nextPage"/>
          <w:pgSz w:w="11906" w:h="16838" w:orient="portrait"/>
          <w:pgMar w:top="1134" w:right="567" w:bottom="1134" w:left="1134" w:header="709" w:footer="709" w:gutter="0"/>
          <w:cols w:num="1" w:sep="0" w:space="708" w:equalWidth="1"/>
          <w:docGrid w:linePitch="360"/>
        </w:sectPr>
      </w:pPr>
      <w:r>
        <w:rPr>
          <w:b/>
          <w:spacing w:val="-1"/>
          <w:sz w:val="27"/>
          <w:szCs w:val="27"/>
        </w:rPr>
      </w:r>
      <w:r>
        <w:rPr>
          <w:b/>
          <w:spacing w:val="-1"/>
          <w:sz w:val="27"/>
          <w:szCs w:val="27"/>
        </w:rPr>
      </w:r>
      <w:r>
        <w:rPr>
          <w:b/>
          <w:spacing w:val="-1"/>
          <w:sz w:val="27"/>
          <w:szCs w:val="27"/>
        </w:rPr>
      </w:r>
    </w:p>
    <w:p>
      <w:pPr>
        <w:pStyle w:val="927"/>
        <w:contextualSpacing/>
        <w:jc w:val="center"/>
        <w:rPr>
          <w:b/>
          <w:bCs/>
          <w:sz w:val="28"/>
          <w:szCs w:val="28"/>
          <w:highlight w:val="none"/>
          <w:lang w:val="ru-RU"/>
        </w:rPr>
      </w:pPr>
      <w:r>
        <w:rPr>
          <w:b/>
          <w:sz w:val="28"/>
          <w:szCs w:val="27"/>
          <w:lang w:val="ru-RU"/>
        </w:rPr>
        <w:t xml:space="preserve"> </w:t>
      </w:r>
      <w:r>
        <w:rPr>
          <w:b/>
          <w:sz w:val="28"/>
          <w:szCs w:val="27"/>
          <w:lang w:val="ru-RU"/>
        </w:rPr>
        <w:t xml:space="preserve">План поворотных (характерных) точек границ территории </w:t>
      </w:r>
      <w:r>
        <w:rPr>
          <w:b/>
          <w:sz w:val="28"/>
          <w:szCs w:val="27"/>
          <w:lang w:val="ru-RU"/>
        </w:rPr>
        <w:br/>
        <w:t xml:space="preserve">объекта культурного наследия: </w:t>
      </w:r>
      <w:r>
        <w:rPr>
          <w:b/>
          <w:bCs/>
          <w:sz w:val="28"/>
          <w:szCs w:val="28"/>
          <w:highlight w:val="none"/>
          <w:lang w:val="ru-RU"/>
        </w:rPr>
      </w:r>
      <w:r>
        <w:rPr>
          <w:b/>
          <w:bCs/>
          <w:sz w:val="28"/>
          <w:szCs w:val="28"/>
          <w:highlight w:val="none"/>
          <w:lang w:val="ru-RU"/>
        </w:rPr>
      </w:r>
    </w:p>
    <w:p>
      <w:pPr>
        <w:pStyle w:val="927"/>
        <w:contextualSpacing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</w:r>
      <w:r>
        <w:rPr>
          <w:b/>
          <w:bCs/>
          <w:sz w:val="28"/>
          <w:szCs w:val="28"/>
          <w:lang w:val="ru-RU"/>
        </w:rPr>
      </w:r>
      <w:r>
        <w:rPr>
          <w:b/>
          <w:bCs/>
          <w:sz w:val="28"/>
          <w:szCs w:val="28"/>
          <w:lang w:val="ru-RU"/>
        </w:rPr>
      </w:r>
    </w:p>
    <w:p>
      <w:pPr>
        <w:pStyle w:val="927"/>
        <w:contextualSpacing/>
        <w:jc w:val="center"/>
        <w:rPr>
          <w:b/>
          <w:bCs/>
          <w:sz w:val="28"/>
          <w:szCs w:val="28"/>
          <w:lang w:val="ru-RU"/>
        </w:rPr>
      </w:pPr>
      <w:r>
        <w:rPr>
          <w:b/>
          <w:sz w:val="28"/>
          <w:szCs w:val="27"/>
          <w:highlight w:val="none"/>
          <w:lang w:val="ru-RU"/>
        </w:rPr>
      </w:r>
      <w:r>
        <w:rPr>
          <w:b/>
          <w:bCs/>
          <w:sz w:val="28"/>
          <w:szCs w:val="28"/>
          <w:lang w:val="ru-RU"/>
        </w:rPr>
      </w:r>
      <w:r>
        <w:rPr>
          <w:b/>
          <w:bCs/>
          <w:sz w:val="28"/>
          <w:szCs w:val="28"/>
          <w:lang w:val="ru-RU"/>
        </w:rPr>
      </w:r>
    </w:p>
    <w:p>
      <w:pPr>
        <w:contextualSpacing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785995" cy="5255260"/>
                <wp:effectExtent l="0" t="0" r="0" b="254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4785995" cy="52552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76.85pt;height:413.8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left="1418" w:hanging="1418"/>
        <w:rPr>
          <w:rFonts w:ascii="TimesNewRomanPSMT" w:hAnsi="TimesNewRomanPSMT" w:cs="TimesNewRomanPSMT"/>
          <w:lang w:eastAsia="zh-CN"/>
        </w:rPr>
      </w:pPr>
      <w:r>
        <w:rPr>
          <w:rFonts w:ascii="TimesNewRomanPSMT" w:hAnsi="TimesNewRomanPSMT" w:cs="TimesNewRomanPSMT"/>
          <w:lang w:eastAsia="zh-C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99695</wp:posOffset>
                </wp:positionV>
                <wp:extent cx="216535" cy="572770"/>
                <wp:effectExtent l="31433" t="101917" r="5397" b="100648"/>
                <wp:wrapTight wrapText="bothSides">
                  <wp:wrapPolygon edited="1">
                    <wp:start x="21310" y="-1782"/>
                    <wp:lineTo x="7499" y="-1467"/>
                    <wp:lineTo x="-10424" y="918"/>
                    <wp:lineTo x="-326" y="11761"/>
                    <wp:lineTo x="-1815" y="18813"/>
                    <wp:lineTo x="1339" y="22202"/>
                    <wp:lineTo x="9140" y="21925"/>
                    <wp:lineTo x="22143" y="3438"/>
                    <wp:lineTo x="25097" y="2284"/>
                    <wp:lineTo x="21310" y="-1782"/>
                  </wp:wrapPolygon>
                </wp:wrapTight>
                <wp:docPr id="6" name="Рисунок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 rot="17363791">
                          <a:off x="0" y="0"/>
                          <a:ext cx="216535" cy="572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z-index:-251659264;o:allowoverlap:true;o:allowincell:true;mso-position-horizontal-relative:text;margin-left:-13.50pt;mso-position-horizontal:absolute;mso-position-vertical-relative:text;margin-top:7.85pt;mso-position-vertical:absolute;width:17.05pt;height:45.10pt;mso-wrap-distance-left:9.00pt;mso-wrap-distance-top:0.00pt;mso-wrap-distance-right:9.00pt;mso-wrap-distance-bottom:0.00pt;rotation:289;" wrapcoords="98657 -8249 34718 -6791 -48258 4250 -1508 54449 -8402 87097 6199 102787 42315 101505 102514 15917 116190 10574 98657 -8249" stroked="false">
                <v:path textboxrect="0,0,0,0"/>
                <w10:wrap type="tight"/>
                <v:imagedata r:id="rId15" o:title=""/>
              </v:shape>
            </w:pict>
          </mc:Fallback>
        </mc:AlternateContent>
      </w:r>
      <w:r>
        <w:rPr>
          <w:rFonts w:ascii="TimesNewRomanPSMT" w:hAnsi="TimesNewRomanPSMT" w:cs="TimesNewRomanPSMT"/>
          <w:lang w:eastAsia="zh-CN"/>
        </w:rPr>
        <w:t xml:space="preserve">    </w:t>
      </w:r>
      <w:r>
        <w:rPr>
          <w:rFonts w:ascii="TimesNewRomanPSMT" w:hAnsi="TimesNewRomanPSMT" w:cs="TimesNewRomanPSMT"/>
          <w:lang w:eastAsia="zh-CN"/>
        </w:rPr>
      </w:r>
      <w:r>
        <w:rPr>
          <w:rFonts w:ascii="TimesNewRomanPSMT" w:hAnsi="TimesNewRomanPSMT" w:cs="TimesNewRomanPSMT"/>
          <w:lang w:eastAsia="zh-CN"/>
        </w:rPr>
      </w:r>
    </w:p>
    <w:p>
      <w:pPr>
        <w:contextualSpacing/>
        <w:ind w:left="1418" w:hanging="1418"/>
        <w:rPr>
          <w:rFonts w:ascii="TimesNewRomanPSMT" w:hAnsi="TimesNewRomanPSMT" w:cs="TimesNewRomanPSMT"/>
          <w:lang w:eastAsia="zh-CN"/>
        </w:rPr>
      </w:pPr>
      <w:r>
        <w:rPr>
          <w:rFonts w:ascii="TimesNewRomanPSMT" w:hAnsi="TimesNewRomanPSMT" w:cs="TimesNewRomanPSMT"/>
          <w:lang w:eastAsia="zh-C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159616</wp:posOffset>
                </wp:positionH>
                <wp:positionV relativeFrom="paragraph">
                  <wp:posOffset>120015</wp:posOffset>
                </wp:positionV>
                <wp:extent cx="155545" cy="362902"/>
                <wp:effectExtent l="0" t="0" r="16510" b="18415"/>
                <wp:wrapNone/>
                <wp:docPr id="7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55545" cy="36290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" o:spid="_x0000_s6" o:spt="1" type="#_x0000_t1" style="position:absolute;z-index:251662336;o:allowoverlap:true;o:allowincell:true;mso-position-horizontal-relative:text;margin-left:12.57pt;mso-position-horizontal:absolute;mso-position-vertical-relative:text;margin-top:9.45pt;mso-position-vertical:absolute;width:12.25pt;height:28.57pt;mso-wrap-distance-left:9.00pt;mso-wrap-distance-top:0.00pt;mso-wrap-distance-right:9.00pt;mso-wrap-distance-bottom:0.00pt;visibility:visible;" fillcolor="#FFFFFF" strokecolor="#FFFFFF" strokeweight="2.00pt"/>
            </w:pict>
          </mc:Fallback>
        </mc:AlternateContent>
      </w:r>
      <w:r>
        <w:rPr>
          <w:rFonts w:ascii="TimesNewRomanPSMT" w:hAnsi="TimesNewRomanPSMT" w:cs="TimesNewRomanPSMT"/>
          <w:lang w:eastAsia="zh-C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-325120</wp:posOffset>
                </wp:positionH>
                <wp:positionV relativeFrom="paragraph">
                  <wp:posOffset>133985</wp:posOffset>
                </wp:positionV>
                <wp:extent cx="155545" cy="362902"/>
                <wp:effectExtent l="0" t="0" r="16510" b="18415"/>
                <wp:wrapNone/>
                <wp:docPr id="8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55545" cy="36290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" o:spid="_x0000_s7" o:spt="1" type="#_x0000_t1" style="position:absolute;z-index:251660288;o:allowoverlap:true;o:allowincell:true;mso-position-horizontal-relative:text;margin-left:-25.60pt;mso-position-horizontal:absolute;mso-position-vertical-relative:text;margin-top:10.55pt;mso-position-vertical:absolute;width:12.25pt;height:28.57pt;mso-wrap-distance-left:9.00pt;mso-wrap-distance-top:0.00pt;mso-wrap-distance-right:9.00pt;mso-wrap-distance-bottom:0.00pt;visibility:visible;" fillcolor="#FFFFFF" strokecolor="#FFFFFF" strokeweight="2.00pt"/>
            </w:pict>
          </mc:Fallback>
        </mc:AlternateContent>
      </w:r>
      <w:r>
        <w:rPr>
          <w:rFonts w:ascii="TimesNewRomanPSMT" w:hAnsi="TimesNewRomanPSMT" w:cs="TimesNewRomanPSMT"/>
          <w:lang w:eastAsia="zh-CN"/>
        </w:rPr>
      </w:r>
      <w:r>
        <w:rPr>
          <w:rFonts w:ascii="TimesNewRomanPSMT" w:hAnsi="TimesNewRomanPSMT" w:cs="TimesNewRomanPSMT"/>
          <w:lang w:eastAsia="zh-CN"/>
        </w:rPr>
      </w:r>
    </w:p>
    <w:p>
      <w:pPr>
        <w:contextualSpacing/>
        <w:ind w:left="1418" w:hanging="1418"/>
        <w:rPr>
          <w:rFonts w:ascii="Times New Roman" w:hAnsi="Times New Roman" w:cs="Times New Roman"/>
        </w:rPr>
      </w:pPr>
      <w:r>
        <w:rPr>
          <w:rFonts w:ascii="TimesNewRomanPSMT" w:hAnsi="TimesNewRomanPSMT" w:cs="TimesNewRomanPSMT"/>
          <w:lang w:eastAsia="zh-CN"/>
        </w:rPr>
        <w:t xml:space="preserve">- </w:t>
      </w:r>
      <w:r>
        <w:rPr>
          <w:rFonts w:ascii="Times New Roman" w:hAnsi="Times New Roman" w:eastAsia="Times New Roman" w:cs="Times New Roman"/>
          <w:lang w:eastAsia="zh-CN"/>
        </w:rPr>
        <w:t xml:space="preserve">граница территории объекта культурного наследия;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360"/>
        <w:tabs>
          <w:tab w:val="num" w:pos="360" w:leader="none"/>
        </w:tabs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49530</wp:posOffset>
                </wp:positionV>
                <wp:extent cx="269240" cy="147320"/>
                <wp:effectExtent l="0" t="0" r="0" b="0"/>
                <wp:wrapTight wrapText="bothSides">
                  <wp:wrapPolygon edited="1">
                    <wp:start x="0" y="0"/>
                    <wp:lineTo x="0" y="19286"/>
                    <wp:lineTo x="19868" y="19286"/>
                    <wp:lineTo x="19868" y="0"/>
                    <wp:lineTo x="0" y="0"/>
                  </wp:wrapPolygon>
                </wp:wrapTight>
                <wp:docPr id="9" name="Рисунок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>
                          <a:extLst>
                            <a:ext uri="{96DAC541-7B7A-43D3-8B79-37D633B846F1}">
                              <asvg:svgBlip xmlns:asvg="http://schemas.microsoft.com/office/drawing/2016/SVG/main" r:embed="rId17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269240" cy="147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position:absolute;z-index:-251663360;o:allowoverlap:true;o:allowincell:true;mso-position-horizontal-relative:text;margin-left:-8.70pt;mso-position-horizontal:absolute;mso-position-vertical-relative:text;margin-top:3.90pt;mso-position-vertical:absolute;width:21.20pt;height:11.60pt;mso-wrap-distance-left:9.00pt;mso-wrap-distance-top:0.00pt;mso-wrap-distance-right:9.00pt;mso-wrap-distance-bottom:0.00pt;" wrapcoords="0 0 0 89287 91981 89287 91981 0 0 0" stroked="f">
                <v:path textboxrect="0,0,0,0"/>
                <w10:wrap type="tight"/>
                <v:imagedata r:id="rId16" o:title=""/>
              </v:shape>
            </w:pict>
          </mc:Fallback>
        </mc:AlternateContent>
      </w:r>
      <w:r>
        <w:t xml:space="preserve">- номер характерной точки;</w:t>
      </w:r>
      <w:r/>
    </w:p>
    <w:p>
      <w:pPr>
        <w:contextualSpacing/>
        <w:ind w:left="1418" w:hanging="1418"/>
      </w:pPr>
      <w:r/>
      <w:r/>
    </w:p>
    <w:p>
      <w:pPr>
        <w:contextualSpacing/>
        <w:ind w:left="1418" w:hanging="1418"/>
      </w:pPr>
      <w:r/>
      <w:r/>
    </w:p>
    <w:p>
      <w:pPr>
        <w:contextualSpacing/>
        <w:ind w:left="1418" w:hanging="1418"/>
      </w:pPr>
      <w:r/>
      <w:r/>
    </w:p>
    <w:p>
      <w:pPr>
        <w:contextualSpacing/>
        <w:ind w:left="1418" w:hanging="1418"/>
      </w:pPr>
      <w:r/>
      <w:r/>
    </w:p>
    <w:p>
      <w:pPr>
        <w:contextualSpacing/>
        <w:ind w:left="1418" w:hanging="1418"/>
      </w:pPr>
      <w:r/>
      <w:r/>
    </w:p>
    <w:p>
      <w:pPr>
        <w:contextualSpacing/>
        <w:ind w:left="1418" w:hanging="1418"/>
      </w:pPr>
      <w:r/>
      <w:r/>
    </w:p>
    <w:p>
      <w:pPr>
        <w:contextualSpacing/>
        <w:ind w:left="1418" w:hanging="1418"/>
        <w:rPr>
          <w:b/>
          <w:bCs/>
          <w:sz w:val="26"/>
          <w:szCs w:val="26"/>
        </w:rPr>
        <w:sectPr>
          <w:footnotePr/>
          <w:endnotePr/>
          <w:type w:val="nextPage"/>
          <w:pgSz w:w="11906" w:h="16838" w:orient="portrait"/>
          <w:pgMar w:top="1134" w:right="567" w:bottom="1134" w:left="1134" w:header="709" w:footer="709" w:gutter="0"/>
          <w:cols w:num="1" w:sep="0" w:space="708" w:equalWidth="1"/>
          <w:docGrid w:linePitch="360"/>
        </w:sect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jc w:val="center"/>
        <w:pageBreakBefore/>
        <w:widowControl w:val="off"/>
        <w:rPr>
          <w:b/>
          <w:spacing w:val="-1"/>
          <w:sz w:val="28"/>
          <w:szCs w:val="27"/>
        </w:rPr>
      </w:pPr>
      <w:r>
        <w:rPr>
          <w:b/>
          <w:spacing w:val="-1"/>
          <w:sz w:val="28"/>
          <w:szCs w:val="27"/>
        </w:rPr>
        <w:t xml:space="preserve"> </w:t>
      </w:r>
      <w:r>
        <w:rPr>
          <w:b/>
          <w:spacing w:val="-1"/>
          <w:sz w:val="28"/>
          <w:szCs w:val="27"/>
        </w:rPr>
        <w:t xml:space="preserve">Перечень координат поворотных (характерных) точек границ территории объекта культурного наследия</w:t>
      </w:r>
      <w:r>
        <w:rPr>
          <w:b/>
          <w:spacing w:val="-1"/>
          <w:sz w:val="28"/>
          <w:szCs w:val="27"/>
        </w:rPr>
        <w:t xml:space="preserve"> </w:t>
      </w:r>
      <w:r>
        <w:rPr>
          <w:b/>
          <w:spacing w:val="-1"/>
          <w:sz w:val="28"/>
          <w:szCs w:val="27"/>
        </w:rPr>
        <w:t xml:space="preserve">регионального</w:t>
      </w:r>
      <w:r>
        <w:rPr>
          <w:b/>
          <w:spacing w:val="-1"/>
          <w:sz w:val="28"/>
          <w:szCs w:val="27"/>
        </w:rPr>
        <w:t xml:space="preserve"> </w:t>
      </w:r>
      <w:r>
        <w:rPr>
          <w:b/>
          <w:spacing w:val="-1"/>
          <w:sz w:val="28"/>
          <w:szCs w:val="27"/>
        </w:rPr>
        <w:t xml:space="preserve">значения </w:t>
      </w:r>
      <w:r>
        <w:rPr>
          <w:b/>
          <w:spacing w:val="-1"/>
          <w:sz w:val="28"/>
          <w:szCs w:val="27"/>
        </w:rPr>
        <w:t xml:space="preserve">в системе координат, установленной для ведения государственного реестра недвижимости</w:t>
      </w:r>
      <w:r>
        <w:rPr>
          <w:b/>
          <w:spacing w:val="-1"/>
          <w:sz w:val="28"/>
          <w:szCs w:val="27"/>
        </w:rPr>
      </w:r>
      <w:r>
        <w:rPr>
          <w:b/>
          <w:spacing w:val="-1"/>
          <w:sz w:val="28"/>
          <w:szCs w:val="27"/>
        </w:rPr>
      </w:r>
    </w:p>
    <w:p>
      <w:pPr>
        <w:contextualSpacing/>
        <w:jc w:val="center"/>
        <w:widowControl w:val="off"/>
        <w:rPr>
          <w:b/>
          <w:bCs/>
          <w:spacing w:val="-1"/>
          <w:sz w:val="16"/>
          <w:szCs w:val="16"/>
        </w:rPr>
      </w:pPr>
      <w:r>
        <w:rPr>
          <w:b/>
          <w:spacing w:val="-1"/>
          <w:sz w:val="16"/>
          <w:szCs w:val="16"/>
        </w:rPr>
      </w:r>
      <w:r>
        <w:rPr>
          <w:b/>
          <w:bCs/>
          <w:spacing w:val="-1"/>
          <w:sz w:val="16"/>
          <w:szCs w:val="16"/>
        </w:rPr>
      </w:r>
      <w:r>
        <w:rPr>
          <w:b/>
          <w:bCs/>
          <w:spacing w:val="-1"/>
          <w:sz w:val="16"/>
          <w:szCs w:val="16"/>
        </w:rPr>
      </w:r>
    </w:p>
    <w:p>
      <w:pPr>
        <w:contextualSpacing/>
        <w:jc w:val="center"/>
        <w:widowControl w:val="off"/>
        <w:rPr>
          <w:b/>
          <w:bCs/>
          <w:spacing w:val="-1"/>
          <w:sz w:val="16"/>
          <w:szCs w:val="16"/>
        </w:rPr>
      </w:pPr>
      <w:r>
        <w:rPr>
          <w:b/>
          <w:spacing w:val="-1"/>
          <w:sz w:val="16"/>
          <w:szCs w:val="16"/>
        </w:rPr>
      </w:r>
      <w:r>
        <w:rPr>
          <w:b/>
          <w:bCs/>
          <w:spacing w:val="-1"/>
          <w:sz w:val="16"/>
          <w:szCs w:val="16"/>
        </w:rPr>
      </w:r>
      <w:r>
        <w:rPr>
          <w:b/>
          <w:bCs/>
          <w:spacing w:val="-1"/>
          <w:sz w:val="16"/>
          <w:szCs w:val="16"/>
        </w:rPr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869"/>
        <w:gridCol w:w="3943"/>
        <w:gridCol w:w="3544"/>
      </w:tblGrid>
      <w:tr>
        <w:tblPrEx/>
        <w:trPr>
          <w:trHeight w:val="931"/>
        </w:trPr>
        <w:tc>
          <w:tcPr>
            <w:tcW w:w="1869" w:type="dxa"/>
            <w:vAlign w:val="center"/>
            <w:vMerge w:val="restart"/>
            <w:textDirection w:val="lrTb"/>
            <w:noWrap w:val="false"/>
          </w:tcPr>
          <w:p>
            <w:pPr>
              <w:ind w:left="-12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Номер характерной точки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gridSpan w:val="2"/>
            <w:tcW w:w="748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Координаты характерных точек в системе координат, установленной для ведения государственного кадастра объектов недвижимости (м) (МСК-47 зона 2)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367"/>
        </w:trPr>
        <w:tc>
          <w:tcPr>
            <w:tcW w:w="1869" w:type="dxa"/>
            <w:vAlign w:val="center"/>
            <w:vMerge w:val="continue"/>
            <w:textDirection w:val="lrTb"/>
            <w:noWrap w:val="false"/>
          </w:tcPr>
          <w:p>
            <w:pPr>
              <w:ind w:left="-12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9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Х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 xml:space="preserve">Y</w:t>
            </w:r>
            <w:r>
              <w:rPr>
                <w:sz w:val="27"/>
                <w:szCs w:val="27"/>
                <w:lang w:val="en-US"/>
              </w:rPr>
            </w:r>
            <w:r>
              <w:rPr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287"/>
        </w:trPr>
        <w:tc>
          <w:tcPr>
            <w:tcW w:w="1869" w:type="dxa"/>
            <w:textDirection w:val="lrTb"/>
            <w:noWrap w:val="false"/>
          </w:tcPr>
          <w:p>
            <w:pPr>
              <w:numPr>
                <w:ilvl w:val="0"/>
                <w:numId w:val="32"/>
              </w:numPr>
              <w:ind w:right="17"/>
              <w:jc w:val="center"/>
              <w:spacing w:line="276" w:lineRule="auto"/>
              <w:rPr>
                <w:sz w:val="27"/>
                <w:szCs w:val="27"/>
              </w:rPr>
            </w:pPr>
            <w:r/>
            <w:bookmarkStart w:id="9" w:name="_Hlk211442524"/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943" w:type="dxa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427" w:leader="none"/>
              </w:tabs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561428.65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2188025.61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350"/>
        </w:trPr>
        <w:tc>
          <w:tcPr>
            <w:tcW w:w="1869" w:type="dxa"/>
            <w:textDirection w:val="lrTb"/>
            <w:noWrap w:val="false"/>
          </w:tcPr>
          <w:p>
            <w:pPr>
              <w:numPr>
                <w:ilvl w:val="0"/>
                <w:numId w:val="32"/>
              </w:numPr>
              <w:ind w:right="17"/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943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561459.47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2188060.48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55"/>
        </w:trPr>
        <w:tc>
          <w:tcPr>
            <w:tcW w:w="1869" w:type="dxa"/>
            <w:textDirection w:val="lrTb"/>
            <w:noWrap w:val="false"/>
          </w:tcPr>
          <w:p>
            <w:pPr>
              <w:numPr>
                <w:ilvl w:val="0"/>
                <w:numId w:val="32"/>
              </w:numPr>
              <w:ind w:right="17"/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943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561437.00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2188081.66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7"/>
        </w:trPr>
        <w:tc>
          <w:tcPr>
            <w:tcW w:w="1869" w:type="dxa"/>
            <w:textDirection w:val="lrTb"/>
            <w:noWrap w:val="false"/>
          </w:tcPr>
          <w:p>
            <w:pPr>
              <w:numPr>
                <w:ilvl w:val="0"/>
                <w:numId w:val="32"/>
              </w:numPr>
              <w:ind w:right="17"/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943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561411.94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2188061.11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411"/>
        </w:trPr>
        <w:tc>
          <w:tcPr>
            <w:tcW w:w="1869" w:type="dxa"/>
            <w:textDirection w:val="lrTb"/>
            <w:noWrap w:val="false"/>
          </w:tcPr>
          <w:p>
            <w:pPr>
              <w:numPr>
                <w:ilvl w:val="0"/>
                <w:numId w:val="32"/>
              </w:numPr>
              <w:ind w:right="17"/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943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561405.77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2188066.99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6"/>
        </w:trPr>
        <w:tc>
          <w:tcPr>
            <w:tcW w:w="1869" w:type="dxa"/>
            <w:textDirection w:val="lrTb"/>
            <w:noWrap w:val="false"/>
          </w:tcPr>
          <w:p>
            <w:pPr>
              <w:numPr>
                <w:ilvl w:val="0"/>
                <w:numId w:val="32"/>
              </w:numPr>
              <w:ind w:right="17"/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943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561398.34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2188059.66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81"/>
        </w:trPr>
        <w:tc>
          <w:tcPr>
            <w:tcW w:w="1869" w:type="dxa"/>
            <w:textDirection w:val="lrTb"/>
            <w:noWrap w:val="false"/>
          </w:tcPr>
          <w:p>
            <w:pPr>
              <w:numPr>
                <w:ilvl w:val="0"/>
                <w:numId w:val="32"/>
              </w:numPr>
              <w:ind w:right="17"/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943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561400.79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2188043.03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329"/>
        </w:trPr>
        <w:tc>
          <w:tcPr>
            <w:tcW w:w="1869" w:type="dxa"/>
            <w:textDirection w:val="lrTb"/>
            <w:noWrap w:val="false"/>
          </w:tcPr>
          <w:p>
            <w:pPr>
              <w:numPr>
                <w:ilvl w:val="0"/>
                <w:numId w:val="32"/>
              </w:numPr>
              <w:ind w:right="17"/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943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561409.61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2188035.21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9"/>
        </w:trPr>
        <w:tc>
          <w:tcPr>
            <w:tcW w:w="1869" w:type="dxa"/>
            <w:textDirection w:val="lrTb"/>
            <w:noWrap w:val="false"/>
          </w:tcPr>
          <w:p>
            <w:pPr>
              <w:ind w:right="17"/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1.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943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561428.65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2188025.61</w:t>
            </w:r>
            <w:bookmarkEnd w:id="9"/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</w:tbl>
    <w:p>
      <w:pPr>
        <w:contextualSpacing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</w:p>
    <w:p>
      <w:pPr>
        <w:contextualSpacing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</w:p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8"/>
          <w:szCs w:val="28"/>
        </w:rPr>
        <w:t xml:space="preserve">Текстовое описание границ территории объекта культурного наследия </w:t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contextualSpacing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left="142" w:right="0" w:firstLine="850"/>
        <w:jc w:val="both"/>
        <w:spacing w:line="276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Границы территории объекта проходят от точки 1 до точки 2 на северо-восток, </w:t>
      </w:r>
      <w:r>
        <w:rPr>
          <w:b w:val="0"/>
          <w:bCs w:val="0"/>
          <w:sz w:val="28"/>
          <w:szCs w:val="28"/>
        </w:rPr>
        <w:t xml:space="preserve">от точки 2 до точки 3 на юго-восток, от точки 3 до точки 4 на юго-запад,</w:t>
        <w:br/>
      </w:r>
      <w:r>
        <w:rPr>
          <w:b w:val="0"/>
          <w:bCs w:val="0"/>
          <w:sz w:val="28"/>
          <w:szCs w:val="28"/>
        </w:rPr>
        <w:t xml:space="preserve">от точки 4 до точки 5 на юго-восток, от точки 5 до точки 6 на юго-запад,</w:t>
      </w:r>
      <w:r>
        <w:rPr>
          <w:b w:val="0"/>
          <w:bCs w:val="0"/>
          <w:sz w:val="28"/>
          <w:szCs w:val="28"/>
        </w:rPr>
        <w:t xml:space="preserve">от точки 6 до точки 1 на северо-запад, где замыкаются.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jc w:val="center"/>
        <w:pageBreakBefore/>
        <w:rPr>
          <w:b/>
          <w:bCs/>
          <w:sz w:val="27"/>
          <w:szCs w:val="27"/>
        </w:rPr>
      </w:pPr>
      <w:r>
        <w:rPr>
          <w:b/>
          <w:sz w:val="27"/>
          <w:szCs w:val="27"/>
        </w:rPr>
        <w:t xml:space="preserve">Режим использования территории </w:t>
      </w:r>
      <w:r>
        <w:rPr>
          <w:b/>
          <w:bCs/>
          <w:sz w:val="27"/>
          <w:szCs w:val="27"/>
        </w:rPr>
        <w:t xml:space="preserve">объекта культурного наследия </w:t>
      </w:r>
      <w:r>
        <w:rPr>
          <w:b/>
          <w:bCs/>
          <w:sz w:val="27"/>
          <w:szCs w:val="27"/>
        </w:rPr>
        <w:t xml:space="preserve">регионального значения </w:t>
      </w:r>
      <w:r>
        <w:rPr>
          <w:b/>
          <w:bCs/>
          <w:sz w:val="27"/>
          <w:szCs w:val="27"/>
        </w:rPr>
        <w:t xml:space="preserve">«Кирха </w:t>
      </w:r>
      <w:r>
        <w:rPr>
          <w:b/>
          <w:bCs/>
          <w:sz w:val="27"/>
          <w:szCs w:val="27"/>
        </w:rPr>
        <w:t xml:space="preserve">Каукола</w:t>
      </w:r>
      <w:r>
        <w:rPr>
          <w:b/>
          <w:bCs/>
          <w:sz w:val="27"/>
          <w:szCs w:val="27"/>
        </w:rPr>
        <w:t xml:space="preserve">», расположенного по адресу:</w:t>
      </w: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</w:p>
    <w:p>
      <w:pPr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Ленинградская область, Приозерский муниципальный район, </w:t>
      </w:r>
      <w:r>
        <w:rPr>
          <w:b/>
          <w:bCs/>
          <w:sz w:val="27"/>
          <w:szCs w:val="27"/>
        </w:rPr>
        <w:t xml:space="preserve">Севастьяновское</w:t>
      </w:r>
      <w:r>
        <w:rPr>
          <w:b/>
          <w:bCs/>
          <w:sz w:val="27"/>
          <w:szCs w:val="27"/>
        </w:rPr>
        <w:t xml:space="preserve"> сельское поселение, поселок </w:t>
      </w:r>
      <w:r>
        <w:rPr>
          <w:b/>
          <w:bCs/>
          <w:sz w:val="27"/>
          <w:szCs w:val="27"/>
        </w:rPr>
        <w:t xml:space="preserve">Севастьяново</w:t>
      </w:r>
      <w:r>
        <w:rPr>
          <w:b/>
          <w:bCs/>
          <w:sz w:val="27"/>
          <w:szCs w:val="27"/>
        </w:rPr>
        <w:t xml:space="preserve">, улица Клубная, здание 12</w:t>
      </w: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</w:p>
    <w:p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 xml:space="preserve">1.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На территории объекта культурного наследия разрешается: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ведение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условиях;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сохранение и восстановление (регенерация) историко-градостроительной </w:t>
      </w:r>
      <w:r>
        <w:rPr>
          <w:sz w:val="27"/>
          <w:szCs w:val="27"/>
        </w:rPr>
        <w:br/>
      </w:r>
      <w:r>
        <w:rPr>
          <w:sz w:val="27"/>
          <w:szCs w:val="27"/>
        </w:rPr>
        <w:t xml:space="preserve">и природной среды объекта культурного наследия (восстановление, воссоздание, восполнение частично или полностью утраченных элементов и характеристик историко-градостроительной и природной среды территории);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сохранение исторических элементов планировочной структуры территории;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сохранение исторических элементов культурного ландшафта;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</w:t>
      </w:r>
      <w:r>
        <w:rPr>
          <w:color w:val="ee0000"/>
          <w:sz w:val="27"/>
          <w:szCs w:val="27"/>
        </w:rPr>
        <w:t xml:space="preserve"> </w:t>
      </w:r>
      <w:r>
        <w:rPr>
          <w:sz w:val="27"/>
          <w:szCs w:val="27"/>
        </w:rPr>
        <w:t xml:space="preserve">реконструкция, ремонт инженерных коммуникаций, благоустройство,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озеленение, установка малых архитектурных форм, иная хозяйственная деятельность </w:t>
      </w:r>
      <w:r>
        <w:rPr>
          <w:sz w:val="27"/>
          <w:szCs w:val="27"/>
        </w:rPr>
        <w:br/>
      </w:r>
      <w:r>
        <w:rPr>
          <w:sz w:val="27"/>
          <w:szCs w:val="27"/>
        </w:rPr>
        <w:t xml:space="preserve">(по согласованию с региональным органом охраны объектов культурного наследия), </w:t>
      </w:r>
      <w:r>
        <w:rPr>
          <w:sz w:val="27"/>
          <w:szCs w:val="27"/>
        </w:rPr>
        <w:br/>
      </w:r>
      <w:r>
        <w:rPr>
          <w:sz w:val="27"/>
          <w:szCs w:val="27"/>
        </w:rPr>
        <w:t xml:space="preserve">не противоречащая требованиям обеспечения</w:t>
      </w:r>
      <w:r>
        <w:rPr>
          <w:sz w:val="27"/>
          <w:szCs w:val="27"/>
        </w:rPr>
        <w:t xml:space="preserve"> сохранности объекта культурного наследия и позволяющая обеспечить функционирование объекта культурного наследия в современных условиях, обеспечивающая недопущение ухудшения состояния территории объекта культурного наследия. Применение при благоустройстве </w:t>
      </w:r>
      <w:r>
        <w:rPr>
          <w:sz w:val="27"/>
          <w:szCs w:val="27"/>
        </w:rPr>
        <w:br/>
      </w:r>
      <w:r>
        <w:rPr>
          <w:sz w:val="27"/>
          <w:szCs w:val="27"/>
        </w:rPr>
        <w:t xml:space="preserve">и оборудовании территории традиционных материалов: в покрытиях (дерево, камень), малых архитектурных формах, исключая контрастные сочетания и яркую цветовую гамму.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На территории объекта культурного наследия запрещается: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строительство объектов капитального строительства и увеличение объемно-пространственных характеристик, существующих на территории объекта культурного значения объектов капитального строительства;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 xml:space="preserve">-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проведение земляных, строительных, мелиоративных и иных работ, </w:t>
      </w:r>
      <w:r>
        <w:rPr>
          <w:sz w:val="27"/>
          <w:szCs w:val="27"/>
        </w:rPr>
        <w:br/>
      </w:r>
      <w:r>
        <w:rPr>
          <w:sz w:val="27"/>
          <w:szCs w:val="27"/>
        </w:rPr>
        <w:t xml:space="preserve">за исключением работ по сохранению (воссозданию)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>
        <w:rPr>
          <w:sz w:val="27"/>
          <w:szCs w:val="27"/>
        </w:rPr>
        <w:t xml:space="preserve">размещение наружной рекламы;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установка на фасадах, крыше объекта культурного наследия кондиционеров, телеантенн, тарелок спутниковой связи, а также других инженерно-технических средств;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</w:t>
      </w:r>
      <w:r>
        <w:rPr>
          <w:sz w:val="27"/>
          <w:szCs w:val="27"/>
        </w:rPr>
        <w:tab/>
        <w:t xml:space="preserve">прокладка наземных и воздушных инженерных коммуникаций, кроме временных, необходимых для проведения работ по сохранению;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устройство автостоянок;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складирование мусора (устройства свалок);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использование пиротехнических средств и фейерверков;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осуществление любых видов деятельности, ухудшающих экологические условия и гидрологический режим на территории объекта культурного наследия, создающих вибрационные нагрузки динамическим воздействием на грунты в зоне </w:t>
      </w:r>
      <w:r>
        <w:rPr>
          <w:sz w:val="27"/>
          <w:szCs w:val="27"/>
        </w:rPr>
        <w:br/>
      </w:r>
      <w:r>
        <w:rPr>
          <w:sz w:val="27"/>
          <w:szCs w:val="27"/>
        </w:rPr>
        <w:t xml:space="preserve">их взаимодействия с объектом культурного наследия.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contextualSpacing/>
        <w:jc w:val="right"/>
        <w:rPr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567" w:bottom="1134" w:left="1134" w:header="709" w:footer="709" w:gutter="0"/>
          <w:cols w:num="1" w:sep="0" w:space="708" w:equalWidth="1"/>
          <w:docGrid w:linePitch="360"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20"/>
        <w:jc w:val="right"/>
        <w:pageBreakBefore/>
        <w:tabs>
          <w:tab w:val="left" w:pos="5505" w:leader="none"/>
        </w:tabs>
        <w:rPr>
          <w:sz w:val="27"/>
          <w:szCs w:val="27"/>
        </w:rPr>
      </w:pPr>
      <w:r>
        <w:rPr>
          <w:sz w:val="27"/>
          <w:szCs w:val="27"/>
        </w:rPr>
        <w:t xml:space="preserve">Приложение № 2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left="4820"/>
        <w:jc w:val="right"/>
        <w:tabs>
          <w:tab w:val="left" w:pos="5505" w:leader="none"/>
        </w:tabs>
        <w:rPr>
          <w:sz w:val="27"/>
          <w:szCs w:val="27"/>
        </w:rPr>
      </w:pPr>
      <w:r>
        <w:rPr>
          <w:sz w:val="27"/>
          <w:szCs w:val="27"/>
        </w:rPr>
        <w:t xml:space="preserve">к приказу комитета по сохранению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left="4820"/>
        <w:jc w:val="right"/>
        <w:tabs>
          <w:tab w:val="left" w:pos="5505" w:leader="none"/>
        </w:tabs>
        <w:rPr>
          <w:sz w:val="27"/>
          <w:szCs w:val="27"/>
        </w:rPr>
      </w:pPr>
      <w:r>
        <w:rPr>
          <w:sz w:val="27"/>
          <w:szCs w:val="27"/>
        </w:rPr>
        <w:t xml:space="preserve">культурного наследия Ленинградской области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left="0"/>
        <w:jc w:val="left"/>
        <w:tabs>
          <w:tab w:val="left" w:pos="5505" w:leader="none"/>
        </w:tabs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от «___» _____________ 2026 года №_______________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jc w:val="center"/>
        <w:tabs>
          <w:tab w:val="left" w:pos="5505" w:leader="none"/>
        </w:tabs>
        <w:rPr>
          <w:b/>
          <w:sz w:val="27"/>
          <w:szCs w:val="27"/>
          <w:highlight w:val="white"/>
        </w:rPr>
      </w:pPr>
      <w:r>
        <w:rPr>
          <w:b/>
          <w:sz w:val="27"/>
          <w:szCs w:val="27"/>
          <w:highlight w:val="white"/>
        </w:rPr>
      </w:r>
      <w:r>
        <w:rPr>
          <w:b/>
          <w:sz w:val="27"/>
          <w:szCs w:val="27"/>
          <w:highlight w:val="white"/>
        </w:rPr>
      </w:r>
      <w:r>
        <w:rPr>
          <w:b/>
          <w:sz w:val="27"/>
          <w:szCs w:val="27"/>
          <w:highlight w:val="white"/>
        </w:rPr>
      </w:r>
    </w:p>
    <w:p>
      <w:pPr>
        <w:jc w:val="center"/>
        <w:tabs>
          <w:tab w:val="left" w:pos="5505" w:leader="none"/>
        </w:tabs>
        <w:rPr>
          <w:b/>
          <w:bCs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Предмет охраны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white"/>
        </w:rPr>
        <w:t xml:space="preserve">объекта культурного наследия </w:t>
      </w:r>
      <w:r>
        <w:rPr>
          <w:b/>
          <w:bCs/>
          <w:sz w:val="28"/>
          <w:szCs w:val="28"/>
        </w:rPr>
        <w:t xml:space="preserve">регионального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значения </w:t>
      </w:r>
      <w:r>
        <w:rPr>
          <w:b/>
          <w:bCs/>
          <w:sz w:val="28"/>
          <w:szCs w:val="28"/>
        </w:rPr>
        <w:t xml:space="preserve">«Кирха </w:t>
      </w:r>
      <w:r>
        <w:rPr>
          <w:b/>
          <w:bCs/>
          <w:sz w:val="28"/>
          <w:szCs w:val="28"/>
        </w:rPr>
        <w:t xml:space="preserve">Каукола</w:t>
      </w:r>
      <w:r>
        <w:rPr>
          <w:b/>
          <w:bCs/>
          <w:sz w:val="28"/>
          <w:szCs w:val="28"/>
        </w:rPr>
        <w:t xml:space="preserve">», расположенного по адресу: Ленинградская область, Приозерский муниципальный район, сельское поселение </w:t>
      </w:r>
      <w:r>
        <w:rPr>
          <w:b/>
          <w:bCs/>
          <w:sz w:val="28"/>
          <w:szCs w:val="28"/>
        </w:rPr>
        <w:t xml:space="preserve">Севастьяновское</w:t>
      </w:r>
      <w:r>
        <w:rPr>
          <w:b/>
          <w:bCs/>
          <w:sz w:val="28"/>
          <w:szCs w:val="28"/>
        </w:rPr>
        <w:t xml:space="preserve">, поселок </w:t>
      </w:r>
      <w:r>
        <w:rPr>
          <w:b/>
          <w:bCs/>
          <w:sz w:val="28"/>
          <w:szCs w:val="28"/>
        </w:rPr>
        <w:t xml:space="preserve">Севастьяново</w:t>
      </w:r>
      <w:r>
        <w:rPr>
          <w:b/>
          <w:bCs/>
          <w:sz w:val="28"/>
          <w:szCs w:val="28"/>
        </w:rPr>
        <w:t xml:space="preserve">, улица Клубная, здание 12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Style w:val="774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3828"/>
        <w:gridCol w:w="354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contextualSpacing/>
              <w:jc w:val="center"/>
              <w:spacing w:line="264" w:lineRule="auto"/>
              <w:widowControl w:val="off"/>
            </w:pPr>
            <w:r>
              <w:t xml:space="preserve">№</w:t>
            </w:r>
            <w:r/>
          </w:p>
          <w:p>
            <w:pPr>
              <w:contextualSpacing/>
              <w:jc w:val="center"/>
              <w:spacing w:line="264" w:lineRule="auto"/>
              <w:widowControl w:val="off"/>
            </w:pPr>
            <w:r>
              <w:t xml:space="preserve">пп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line="264" w:lineRule="auto"/>
              <w:widowControl w:val="off"/>
            </w:pPr>
            <w:r>
              <w:t xml:space="preserve">Видовая принадлежность предмета охраны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8" w:type="dxa"/>
            <w:textDirection w:val="lrTb"/>
            <w:noWrap w:val="false"/>
          </w:tcPr>
          <w:p>
            <w:pPr>
              <w:contextualSpacing/>
              <w:jc w:val="center"/>
              <w:spacing w:line="264" w:lineRule="auto"/>
              <w:widowControl w:val="off"/>
            </w:pPr>
            <w:r>
              <w:t xml:space="preserve">Предмет охраны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contextualSpacing/>
              <w:jc w:val="center"/>
              <w:spacing w:line="264" w:lineRule="auto"/>
              <w:widowControl w:val="off"/>
            </w:pPr>
            <w:r>
              <w:t xml:space="preserve">Фотофиксация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contextualSpacing/>
              <w:jc w:val="center"/>
              <w:spacing w:line="264" w:lineRule="auto"/>
            </w:pPr>
            <w: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line="264" w:lineRule="auto"/>
            </w:pPr>
            <w: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8" w:type="dxa"/>
            <w:textDirection w:val="lrTb"/>
            <w:noWrap w:val="false"/>
          </w:tcPr>
          <w:p>
            <w:pPr>
              <w:contextualSpacing/>
              <w:jc w:val="center"/>
              <w:spacing w:line="264" w:lineRule="auto"/>
            </w:pPr>
            <w: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contextualSpacing/>
              <w:jc w:val="center"/>
              <w:spacing w:line="264" w:lineRule="auto"/>
            </w:pPr>
            <w:r>
              <w:t xml:space="preserve">4</w:t>
            </w:r>
            <w:r/>
          </w:p>
        </w:tc>
      </w:tr>
      <w:tr>
        <w:tblPrEx/>
        <w:trPr>
          <w:trHeight w:val="438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textDirection w:val="lrTb"/>
            <w:noWrap w:val="false"/>
          </w:tcPr>
          <w:p>
            <w:pPr>
              <w:contextualSpacing/>
              <w:jc w:val="center"/>
              <w:spacing w:line="264" w:lineRule="auto"/>
            </w:pPr>
            <w:r/>
            <w:r/>
          </w:p>
          <w:p>
            <w:pPr>
              <w:contextualSpacing/>
              <w:jc w:val="center"/>
              <w:spacing w:line="264" w:lineRule="auto"/>
            </w:pPr>
            <w:r>
              <w:t xml:space="preserve">1.</w:t>
            </w:r>
            <w:r/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line="264" w:lineRule="auto"/>
            </w:pPr>
            <w:r>
              <w:t xml:space="preserve">Объёмно-пространственное решение:</w:t>
            </w:r>
            <w:r/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3828" w:type="dxa"/>
            <w:textDirection w:val="lrTb"/>
            <w:noWrap w:val="false"/>
          </w:tcPr>
          <w:p>
            <w:pPr>
              <w:jc w:val="both"/>
            </w:pPr>
            <w:r>
              <w:t xml:space="preserve">историческое (здесь и далее - на 1933 год) местоположение (на правом</w:t>
            </w:r>
            <w:r>
              <w:tab/>
              <w:t xml:space="preserve">берегу</w:t>
            </w:r>
            <w:r>
              <w:tab/>
            </w:r>
            <w:r>
              <w:tab/>
              <w:t xml:space="preserve">реки </w:t>
            </w:r>
            <w:r>
              <w:t xml:space="preserve">Севастьяновка</w:t>
            </w:r>
            <w:r>
              <w:t xml:space="preserve">, на холме), габариты и конфигурация крестообразного в плане здания с апсидой в алтарной части (юго-западной), двумя прямоугольными кирпичными тамбурами, и выступающей из средокрестия прямоугольной в плане башней-колокольней,</w:t>
            </w:r>
            <w:r>
              <w:tab/>
            </w:r>
            <w:r>
              <w:tab/>
              <w:t xml:space="preserve">увенчанной прямоугольной башенкой с сомкнутым куполом и латинским крестом</w:t>
            </w:r>
            <w:r>
              <w:tab/>
            </w:r>
            <w:r>
              <w:tab/>
              <w:t xml:space="preserve">на</w:t>
            </w:r>
            <w:r>
              <w:tab/>
              <w:t xml:space="preserve">яблоке (восстановление башенки в 1943-1944 гг. не было завершено, габариты изменены, сомкнутый купол и латинский крест на яблоке утрачены);</w:t>
            </w:r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t xml:space="preserve">крыша: исторические габариты и конфигурация (двускатная – основного объема церкви, коническая – апсиды, сомкнутый купол – башни-колокольни), включая высотные отметки коньков и карнизов.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contextualSpacing/>
              <w:jc w:val="center"/>
              <w:spacing w:line="264" w:lineRule="auto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43455" cy="1914525"/>
                      <wp:effectExtent l="0" t="0" r="4445" b="9525"/>
                      <wp:docPr id="10" name="Рисунок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43455" cy="191452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width:176.65pt;height:150.75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  <w:p>
            <w:pPr>
              <w:contextualSpacing/>
              <w:jc w:val="center"/>
              <w:spacing w:line="264" w:lineRule="auto"/>
            </w:pPr>
            <w:r/>
            <w:r/>
          </w:p>
          <w:p>
            <w:pPr>
              <w:contextualSpacing/>
              <w:jc w:val="center"/>
              <w:spacing w:line="264" w:lineRule="auto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82495" cy="1450975"/>
                      <wp:effectExtent l="0" t="0" r="8255" b="0"/>
                      <wp:docPr id="11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82495" cy="145097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width:171.85pt;height:114.25pt;mso-wrap-distance-left:0.00pt;mso-wrap-distance-top:0.00pt;mso-wrap-distance-right:0.00pt;mso-wrap-distance-bottom:0.0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  <w:p>
            <w:pPr>
              <w:contextualSpacing/>
              <w:jc w:val="center"/>
              <w:spacing w:line="264" w:lineRule="auto"/>
            </w:pPr>
            <w:r/>
            <w:r/>
          </w:p>
          <w:p>
            <w:pPr>
              <w:contextualSpacing/>
              <w:jc w:val="center"/>
              <w:spacing w:line="264" w:lineRule="auto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00910" cy="1969135"/>
                      <wp:effectExtent l="0" t="0" r="8890" b="0"/>
                      <wp:docPr id="12" name="Рисунок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00910" cy="196913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width:173.30pt;height:155.05pt;mso-wrap-distance-left:0.00pt;mso-wrap-distance-top:0.00pt;mso-wrap-distance-right:0.00pt;mso-wrap-distance-bottom:0.0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  <w:p>
            <w:pPr>
              <w:contextualSpacing/>
              <w:spacing w:line="264" w:lineRule="auto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12645" cy="2658110"/>
                      <wp:effectExtent l="0" t="0" r="1905" b="8890"/>
                      <wp:docPr id="13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49057122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12645" cy="265811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width:166.35pt;height:209.30pt;mso-wrap-distance-left:0.00pt;mso-wrap-distance-top:0.00pt;mso-wrap-distance-right:0.00pt;mso-wrap-distance-bottom:0.0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2" w:type="dxa"/>
            <w:textDirection w:val="lrTb"/>
            <w:noWrap w:val="false"/>
          </w:tcPr>
          <w:p>
            <w:pPr>
              <w:contextualSpacing/>
              <w:jc w:val="center"/>
              <w:spacing w:line="264" w:lineRule="auto"/>
            </w:pPr>
            <w:r>
              <w:t xml:space="preserve">2.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line="264" w:lineRule="auto"/>
            </w:pPr>
            <w:r>
              <w:t xml:space="preserve">Конструктивная</w:t>
            </w:r>
            <w:r/>
          </w:p>
          <w:p>
            <w:pPr>
              <w:contextualSpacing/>
              <w:jc w:val="center"/>
              <w:spacing w:line="264" w:lineRule="auto"/>
            </w:pPr>
            <w:r>
              <w:t xml:space="preserve">система</w:t>
            </w:r>
            <w:r/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8" w:type="dxa"/>
            <w:textDirection w:val="lrTb"/>
            <w:noWrap w:val="false"/>
          </w:tcPr>
          <w:p>
            <w:pPr>
              <w:jc w:val="both"/>
            </w:pPr>
            <w:r>
              <w:t xml:space="preserve">исторические наружные и внутренние капитальные стены (местоположение, материал - кирпич);</w:t>
            </w:r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t xml:space="preserve">хоры на бетонных столбах: местоположение, габариты;</w:t>
            </w:r>
            <w:r>
              <w:tab/>
            </w:r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pPr>
              <w:jc w:val="both"/>
              <w:rPr>
                <w:highlight w:val="none"/>
              </w:rPr>
            </w:pPr>
            <w:r>
              <w:t xml:space="preserve">две одномаршевые лестницы в притворе, ведущие на хоры;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t xml:space="preserve">железобетонные</w:t>
            </w:r>
            <w:r>
              <w:tab/>
              <w:t xml:space="preserve">своды перекрытия церковного зала и алтаря.</w:t>
            </w:r>
            <w:r>
              <w:tab/>
            </w:r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3" w:type="dxa"/>
            <w:textDirection w:val="lrTb"/>
            <w:noWrap w:val="false"/>
          </w:tcPr>
          <w:p>
            <w:pPr>
              <w:contextualSpacing/>
              <w:spacing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9295" cy="2508825"/>
                      <wp:effectExtent l="0" t="0" r="0" b="6350"/>
                      <wp:docPr id="14" name="Рисунок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2"/>
                              <a:srcRect l="0" t="51107" r="0" b="-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82350" cy="25369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width:162.15pt;height:197.55pt;mso-wrap-distance-left:0.00pt;mso-wrap-distance-top:0.00pt;mso-wrap-distance-right:0.00pt;mso-wrap-distance-bottom:0.00pt;" stroked="f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contextualSpacing/>
              <w:spacing w:line="264" w:lineRule="auto"/>
              <w:tabs>
                <w:tab w:val="left" w:pos="978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contextualSpacing/>
              <w:jc w:val="center"/>
              <w:spacing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94560" cy="1566545"/>
                      <wp:effectExtent l="0" t="0" r="0" b="0"/>
                      <wp:docPr id="15" name="Рисунок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94560" cy="15665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width:172.80pt;height:123.35pt;mso-wrap-distance-left:0.00pt;mso-wrap-distance-top:0.00pt;mso-wrap-distance-right:0.00pt;mso-wrap-distance-bottom:0.0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contextualSpacing/>
              <w:jc w:val="center"/>
              <w:spacing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contextualSpacing/>
              <w:jc w:val="center"/>
              <w:spacing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00910" cy="1286510"/>
                      <wp:effectExtent l="0" t="0" r="8890" b="8890"/>
                      <wp:docPr id="16" name="Рисунок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00910" cy="128651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width:173.30pt;height:101.30pt;mso-wrap-distance-left:0.00pt;mso-wrap-distance-top:0.00pt;mso-wrap-distance-right:0.00pt;mso-wrap-distance-bottom:0.0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contextualSpacing/>
              <w:jc w:val="center"/>
              <w:spacing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contextualSpacing/>
              <w:jc w:val="center"/>
              <w:spacing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contextualSpacing/>
              <w:jc w:val="center"/>
              <w:spacing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contextualSpacing/>
              <w:jc w:val="center"/>
              <w:spacing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contextualSpacing/>
              <w:jc w:val="center"/>
              <w:spacing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contextualSpacing/>
              <w:jc w:val="center"/>
              <w:spacing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contextualSpacing/>
              <w:jc w:val="center"/>
              <w:spacing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contextualSpacing/>
              <w:jc w:val="center"/>
              <w:spacing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88845" cy="1457325"/>
                      <wp:effectExtent l="0" t="0" r="1905" b="9525"/>
                      <wp:docPr id="17" name="Рисунок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88845" cy="145732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width:172.35pt;height:114.75pt;mso-wrap-distance-left:0.00pt;mso-wrap-distance-top:0.00pt;mso-wrap-distance-right:0.00pt;mso-wrap-distance-bottom:0.0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contextualSpacing/>
              <w:spacing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contextualSpacing/>
              <w:jc w:val="center"/>
              <w:spacing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88845" cy="1457325"/>
                      <wp:effectExtent l="0" t="0" r="1905" b="9525"/>
                      <wp:docPr id="18" name="Рисунок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88845" cy="145732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width:172.35pt;height:114.75pt;mso-wrap-distance-left:0.00pt;mso-wrap-distance-top:0.00pt;mso-wrap-distance-right:0.00pt;mso-wrap-distance-bottom:0.0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contextualSpacing/>
              <w:jc w:val="center"/>
              <w:spacing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contextualSpacing/>
              <w:jc w:val="center"/>
              <w:spacing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82495" cy="1457325"/>
                      <wp:effectExtent l="0" t="0" r="8255" b="9525"/>
                      <wp:docPr id="19" name="Рисунок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82495" cy="145732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width:171.85pt;height:114.75pt;mso-wrap-distance-left:0.00pt;mso-wrap-distance-top:0.00pt;mso-wrap-distance-right:0.00pt;mso-wrap-distance-bottom:0.0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694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contextualSpacing/>
              <w:jc w:val="center"/>
              <w:spacing w:line="264" w:lineRule="auto"/>
            </w:pPr>
            <w:r>
              <w:t xml:space="preserve">3.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  <w:lang w:eastAsia="zh-CN"/>
              </w:rPr>
              <w:t xml:space="preserve">Архитектурно</w:t>
            </w:r>
            <w:r>
              <w:rPr>
                <w:color w:val="000000"/>
                <w:sz w:val="22"/>
                <w:szCs w:val="22"/>
                <w:lang w:eastAsia="zh-CN"/>
              </w:rPr>
              <w:t xml:space="preserve">-</w:t>
            </w: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  <w:lang w:eastAsia="zh-CN"/>
              </w:rPr>
              <w:t xml:space="preserve">художественное решение фасадов: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8" w:type="dxa"/>
            <w:textDirection w:val="lrTb"/>
            <w:noWrap w:val="false"/>
          </w:tcPr>
          <w:p>
            <w:pPr>
              <w:jc w:val="both"/>
            </w:pPr>
            <w:r>
              <w:t xml:space="preserve">архитектурно-художественное</w:t>
            </w:r>
            <w:r/>
          </w:p>
          <w:p>
            <w:pPr>
              <w:jc w:val="both"/>
            </w:pPr>
            <w:r>
              <w:t xml:space="preserve">решение</w:t>
            </w:r>
            <w:r>
              <w:tab/>
              <w:t xml:space="preserve">фасадов</w:t>
            </w:r>
            <w:r>
              <w:tab/>
              <w:t xml:space="preserve">в</w:t>
            </w:r>
            <w:r>
              <w:tab/>
              <w:t xml:space="preserve">приемах финского функционализма;</w:t>
            </w:r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t xml:space="preserve">материал и характер фасадной поверхности: неоштукатуренный красный кирпич;</w:t>
            </w:r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t xml:space="preserve">облицовка цоколя плитами;</w:t>
            </w:r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pPr>
              <w:rPr>
                <w:highlight w:val="none"/>
              </w:rPr>
            </w:pPr>
            <w:r>
              <w:t xml:space="preserve">исторические дверные проемы: местоположение,</w:t>
            </w:r>
            <w:r>
              <w:tab/>
              <w:t xml:space="preserve">габариты, конфигурация (прямоугольные с кирпичными</w:t>
            </w:r>
            <w:r>
              <w:tab/>
              <w:t xml:space="preserve">клинчатыми перемычками);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t xml:space="preserve">раскрепованный</w:t>
            </w:r>
            <w:r>
              <w:t xml:space="preserve"> портал парадного входа со стороны северо-восточного фасада церкви, оформленный</w:t>
            </w:r>
            <w:r>
              <w:tab/>
              <w:t xml:space="preserve">кирпичным карнизом;</w:t>
            </w:r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t xml:space="preserve">паперть с тремя ступенями перед парадным входом в храм;</w:t>
            </w:r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t xml:space="preserve">круглое окно северо-восточного фасада, оформленное кирпичным наличником;</w:t>
            </w:r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t xml:space="preserve">заполнение круглого окна: исторический рисунок и цвет;</w:t>
            </w:r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pPr>
              <w:jc w:val="both"/>
              <w:rPr>
                <w:highlight w:val="none"/>
              </w:rPr>
            </w:pPr>
            <w:r>
              <w:t xml:space="preserve">исторические оконные проемы: местоположение,</w:t>
            </w:r>
            <w:r>
              <w:tab/>
              <w:t xml:space="preserve">габариты, конфигурация (прямоугольные с кирпичными</w:t>
            </w:r>
            <w:r>
              <w:tab/>
              <w:t xml:space="preserve">клинчатыми перемычками);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t xml:space="preserve">заполнения оконных проемов: исторический рисунок и цвет;</w:t>
            </w:r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t xml:space="preserve">кирпичные профилированные карнизы тамбуров;</w:t>
            </w:r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t xml:space="preserve">подоконный карниз в уровне верхнего яруса апсиды;</w:t>
            </w:r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pPr>
              <w:jc w:val="both"/>
              <w:rPr>
                <w:highlight w:val="none"/>
              </w:rPr>
            </w:pPr>
            <w:r>
              <w:t xml:space="preserve">кирпичный</w:t>
            </w:r>
            <w:r>
              <w:tab/>
              <w:t xml:space="preserve">венчающий профилированный карниз;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t xml:space="preserve">щипцы с диагональной кирпичной кладкой в завершении боковых объемов и северо-восточного фасада основного объема церкви.</w:t>
            </w:r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68220" cy="1511935"/>
                      <wp:effectExtent l="0" t="0" r="0" b="0"/>
                      <wp:docPr id="20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68220" cy="151193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width:178.60pt;height:119.05pt;mso-wrap-distance-left:0.00pt;mso-wrap-distance-top:0.00pt;mso-wrap-distance-right:0.00pt;mso-wrap-distance-bottom:0.0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88845" cy="1457325"/>
                      <wp:effectExtent l="0" t="0" r="1905" b="9525"/>
                      <wp:docPr id="21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88845" cy="145732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width:172.35pt;height:114.75pt;mso-wrap-distance-left:0.00pt;mso-wrap-distance-top:0.00pt;mso-wrap-distance-right:0.00pt;mso-wrap-distance-bottom:0.0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94560" cy="1718945"/>
                      <wp:effectExtent l="0" t="0" r="0" b="0"/>
                      <wp:docPr id="22" name="Рисуно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94560" cy="1718944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width:172.80pt;height:135.35pt;mso-wrap-distance-left:0.00pt;mso-wrap-distance-top:0.00pt;mso-wrap-distance-right:0.00pt;mso-wrap-distance-bottom:0.0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12975" cy="2292350"/>
                      <wp:effectExtent l="0" t="0" r="0" b="0"/>
                      <wp:docPr id="23" name="Рисунок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12975" cy="229235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width:174.25pt;height:180.50pt;mso-wrap-distance-left:0.00pt;mso-wrap-distance-top:0.00pt;mso-wrap-distance-right:0.00pt;mso-wrap-distance-bottom:0.0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88845" cy="1457325"/>
                      <wp:effectExtent l="0" t="0" r="1905" b="9525"/>
                      <wp:docPr id="24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88845" cy="145732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width:172.35pt;height:114.75pt;mso-wrap-distance-left:0.00pt;mso-wrap-distance-top:0.00pt;mso-wrap-distance-right:0.00pt;mso-wrap-distance-bottom:0.0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88845" cy="2286000"/>
                      <wp:effectExtent l="0" t="0" r="1905" b="0"/>
                      <wp:docPr id="25" name="Рисунок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88845" cy="22860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width:172.35pt;height:180.00pt;mso-wrap-distance-left:0.00pt;mso-wrap-distance-top:0.00pt;mso-wrap-distance-right:0.00pt;mso-wrap-distance-bottom:0.0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tabs>
                <w:tab w:val="left" w:pos="1084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00910" cy="1231265"/>
                      <wp:effectExtent l="0" t="0" r="8890" b="6985"/>
                      <wp:docPr id="26" name="Рисунок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00910" cy="1231264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width:173.30pt;height:96.95pt;mso-wrap-distance-left:0.00pt;mso-wrap-distance-top:0.00pt;mso-wrap-distance-right:0.00pt;mso-wrap-distance-bottom:0.0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19325" cy="1249680"/>
                      <wp:effectExtent l="0" t="0" r="9525" b="7620"/>
                      <wp:docPr id="27" name="Рисунок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19325" cy="12496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width:174.75pt;height:98.40pt;mso-wrap-distance-left:0.00pt;mso-wrap-distance-top:0.00pt;mso-wrap-distance-right:0.00pt;mso-wrap-distance-bottom:0.0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5040" cy="1664335"/>
                      <wp:effectExtent l="0" t="0" r="3810" b="0"/>
                      <wp:docPr id="28" name="Рисунок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25040" cy="166433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width:175.20pt;height:131.05pt;mso-wrap-distance-left:0.00pt;mso-wrap-distance-top:0.00pt;mso-wrap-distance-right:0.00pt;mso-wrap-distance-bottom:0.0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94560" cy="1390015"/>
                      <wp:effectExtent l="0" t="0" r="0" b="635"/>
                      <wp:docPr id="29" name="Рисунок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94560" cy="139001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width:172.80pt;height:109.45pt;mso-wrap-distance-left:0.00pt;mso-wrap-distance-top:0.00pt;mso-wrap-distance-right:0.00pt;mso-wrap-distance-bottom:0.0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88845" cy="939165"/>
                      <wp:effectExtent l="0" t="0" r="1905" b="0"/>
                      <wp:docPr id="30" name="Рисунок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88845" cy="93916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width:172.35pt;height:73.95pt;mso-wrap-distance-left:0.00pt;mso-wrap-distance-top:0.00pt;mso-wrap-distance-right:0.00pt;mso-wrap-distance-bottom:0.0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00910" cy="1627505"/>
                      <wp:effectExtent l="0" t="0" r="8890" b="0"/>
                      <wp:docPr id="31" name="Рисунок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00910" cy="162750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width:173.30pt;height:128.15pt;mso-wrap-distance-left:0.00pt;mso-wrap-distance-top:0.00pt;mso-wrap-distance-right:0.00pt;mso-wrap-distance-bottom:0.0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70430" cy="1426845"/>
                      <wp:effectExtent l="0" t="0" r="1270" b="1905"/>
                      <wp:docPr id="32" name="Рисунок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70430" cy="14268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width:170.90pt;height:112.35pt;mso-wrap-distance-left:0.00pt;mso-wrap-distance-top:0.00pt;mso-wrap-distance-right:0.00pt;mso-wrap-distance-bottom:0.0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00910" cy="1475105"/>
                      <wp:effectExtent l="0" t="0" r="8890" b="0"/>
                      <wp:docPr id="33" name="Рисунок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00910" cy="1475104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width:173.30pt;height:116.15pt;mso-wrap-distance-left:0.00pt;mso-wrap-distance-top:0.00pt;mso-wrap-distance-right:0.00pt;mso-wrap-distance-bottom:0.0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5040" cy="1823085"/>
                      <wp:effectExtent l="0" t="0" r="3810" b="5715"/>
                      <wp:docPr id="34" name="Рисунок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25040" cy="18230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width:175.20pt;height:143.55pt;mso-wrap-distance-left:0.00pt;mso-wrap-distance-top:0.00pt;mso-wrap-distance-right:0.00pt;mso-wrap-distance-bottom:0.0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</w:tbl>
    <w:p>
      <w:pPr>
        <w:ind w:left="-709" w:right="-340" w:firstLine="709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</w:r>
      <w:r>
        <w:rPr>
          <w:bCs/>
          <w:i/>
          <w:sz w:val="26"/>
          <w:szCs w:val="26"/>
        </w:rPr>
      </w:r>
      <w:r>
        <w:rPr>
          <w:bCs/>
          <w:i/>
          <w:sz w:val="26"/>
          <w:szCs w:val="26"/>
        </w:rPr>
      </w:r>
    </w:p>
    <w:p>
      <w:pPr>
        <w:ind w:firstLine="426"/>
        <w:rPr>
          <w:i/>
          <w:iCs/>
          <w:color w:val="000000"/>
          <w:lang w:eastAsia="zh-CN"/>
        </w:rPr>
      </w:pPr>
      <w:r>
        <w:rPr>
          <w:i/>
          <w:iCs/>
          <w:color w:val="000000"/>
          <w:lang w:eastAsia="zh-CN"/>
        </w:rPr>
      </w:r>
      <w:r>
        <w:rPr>
          <w:i/>
          <w:iCs/>
          <w:color w:val="000000"/>
          <w:lang w:eastAsia="zh-CN"/>
        </w:rPr>
        <w:t xml:space="preserve">Предмет охраны может быть уточнен в процессе историко-культурных и реставрационных исследований, реставрационных работ.</w:t>
      </w:r>
      <w:r>
        <w:rPr>
          <w:i/>
          <w:iCs/>
          <w:color w:val="000000"/>
          <w:lang w:eastAsia="zh-CN"/>
        </w:rPr>
      </w:r>
      <w:r>
        <w:rPr>
          <w:i/>
          <w:iCs/>
          <w:color w:val="000000"/>
          <w:lang w:eastAsia="zh-CN"/>
        </w:rPr>
      </w:r>
    </w:p>
    <w:sectPr>
      <w:footnotePr/>
      <w:endnotePr/>
      <w:type w:val="nextPage"/>
      <w:pgSz w:w="11906" w:h="16838" w:orient="portrait"/>
      <w:pgMar w:top="1134" w:right="567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TimesNewRomanPSMT">
    <w:panose1 w:val="02020603050405020304"/>
  </w:font>
  <w:font w:name="Symbol">
    <w:panose1 w:val="05010000000000000000"/>
  </w:font>
  <w:font w:name="Bookman Old Style">
    <w:panose1 w:val="02060603050605020204"/>
  </w:font>
  <w:font w:name="Times New Roman">
    <w:panose1 w:val="02020603050405020304"/>
  </w:font>
  <w:font w:name="Courier New">
    <w:panose1 w:val="02070309020205020404"/>
  </w:font>
  <w:font w:name="Tahoma">
    <w:panose1 w:val="020B0604030504040204"/>
  </w:font>
  <w:font w:name="MS Mincho">
    <w:panose1 w:val="02070609020205090404"/>
  </w:font>
  <w:font w:name="Wingdings">
    <w:panose1 w:val="05010000000000000000"/>
  </w:font>
  <w:font w:name="Franklin Gothic Book">
    <w:panose1 w:val="020B0603020202020204"/>
  </w:font>
  <w:font w:name="Verdan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644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3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5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7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9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1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3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5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76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num w:numId="1">
    <w:abstractNumId w:val="4"/>
  </w:num>
  <w:num w:numId="2">
    <w:abstractNumId w:val="1"/>
  </w:num>
  <w:num w:numId="3">
    <w:abstractNumId w:val="27"/>
  </w:num>
  <w:num w:numId="4">
    <w:abstractNumId w:val="24"/>
  </w:num>
  <w:num w:numId="5">
    <w:abstractNumId w:val="13"/>
  </w:num>
  <w:num w:numId="6">
    <w:abstractNumId w:val="5"/>
  </w:num>
  <w:num w:numId="7">
    <w:abstractNumId w:val="11"/>
  </w:num>
  <w:num w:numId="8">
    <w:abstractNumId w:val="30"/>
  </w:num>
  <w:num w:numId="9">
    <w:abstractNumId w:val="3"/>
  </w:num>
  <w:num w:numId="10">
    <w:abstractNumId w:val="0"/>
  </w:num>
  <w:num w:numId="11">
    <w:abstractNumId w:val="8"/>
  </w:num>
  <w:num w:numId="12">
    <w:abstractNumId w:val="26"/>
  </w:num>
  <w:num w:numId="13">
    <w:abstractNumId w:val="9"/>
  </w:num>
  <w:num w:numId="14">
    <w:abstractNumId w:val="19"/>
  </w:num>
  <w:num w:numId="15">
    <w:abstractNumId w:val="14"/>
  </w:num>
  <w:num w:numId="16">
    <w:abstractNumId w:val="17"/>
  </w:num>
  <w:num w:numId="17">
    <w:abstractNumId w:val="6"/>
  </w:num>
  <w:num w:numId="18">
    <w:abstractNumId w:val="20"/>
  </w:num>
  <w:num w:numId="19">
    <w:abstractNumId w:val="22"/>
  </w:num>
  <w:num w:numId="20">
    <w:abstractNumId w:val="29"/>
  </w:num>
  <w:num w:numId="21">
    <w:abstractNumId w:val="33"/>
  </w:num>
  <w:num w:numId="22">
    <w:abstractNumId w:val="31"/>
  </w:num>
  <w:num w:numId="23">
    <w:abstractNumId w:val="25"/>
  </w:num>
  <w:num w:numId="24">
    <w:abstractNumId w:val="32"/>
  </w:num>
  <w:num w:numId="25">
    <w:abstractNumId w:val="10"/>
  </w:num>
  <w:num w:numId="26">
    <w:abstractNumId w:val="28"/>
  </w:num>
  <w:num w:numId="27">
    <w:abstractNumId w:val="2"/>
  </w:num>
  <w:num w:numId="28">
    <w:abstractNumId w:val="16"/>
  </w:num>
  <w:num w:numId="29">
    <w:abstractNumId w:val="12"/>
  </w:num>
  <w:num w:numId="30">
    <w:abstractNumId w:val="23"/>
  </w:num>
  <w:num w:numId="31">
    <w:abstractNumId w:val="7"/>
  </w:num>
  <w:num w:numId="32">
    <w:abstractNumId w:val="21"/>
  </w:num>
  <w:num w:numId="33">
    <w:abstractNumId w:val="15"/>
  </w:num>
  <w:num w:numId="34">
    <w:abstractNumId w:val="18"/>
  </w:num>
  <w:num w:numId="35">
    <w:abstractNumId w:val="34"/>
  </w:num>
  <w:num w:numId="36">
    <w:abstractNumId w:val="35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9" w:default="1">
    <w:name w:val="Normal"/>
    <w:qFormat/>
    <w:rPr>
      <w:sz w:val="24"/>
      <w:szCs w:val="24"/>
      <w:lang w:eastAsia="ru-RU"/>
    </w:rPr>
  </w:style>
  <w:style w:type="paragraph" w:styleId="730">
    <w:name w:val="Heading 1"/>
    <w:basedOn w:val="729"/>
    <w:next w:val="729"/>
    <w:link w:val="750"/>
    <w:qFormat/>
    <w:pPr>
      <w:jc w:val="center"/>
      <w:keepNext/>
      <w:outlineLvl w:val="0"/>
    </w:pPr>
    <w:rPr>
      <w:b/>
      <w:sz w:val="22"/>
      <w:szCs w:val="20"/>
    </w:rPr>
  </w:style>
  <w:style w:type="paragraph" w:styleId="731">
    <w:name w:val="Heading 2"/>
    <w:basedOn w:val="729"/>
    <w:next w:val="729"/>
    <w:link w:val="929"/>
    <w:qFormat/>
    <w:pPr>
      <w:jc w:val="both"/>
      <w:keepNext/>
      <w:outlineLvl w:val="1"/>
    </w:pPr>
    <w:rPr>
      <w:sz w:val="28"/>
      <w:szCs w:val="20"/>
      <w:lang w:val="en-US" w:eastAsia="en-US"/>
    </w:rPr>
  </w:style>
  <w:style w:type="paragraph" w:styleId="732">
    <w:name w:val="Heading 3"/>
    <w:basedOn w:val="729"/>
    <w:next w:val="729"/>
    <w:link w:val="930"/>
    <w:qFormat/>
    <w:pPr>
      <w:ind w:right="-381"/>
      <w:keepNext/>
      <w:tabs>
        <w:tab w:val="left" w:pos="-142" w:leader="none"/>
      </w:tabs>
      <w:outlineLvl w:val="2"/>
    </w:pPr>
    <w:rPr>
      <w:sz w:val="28"/>
      <w:szCs w:val="20"/>
      <w:lang w:val="en-US" w:eastAsia="en-US"/>
    </w:rPr>
  </w:style>
  <w:style w:type="paragraph" w:styleId="733">
    <w:name w:val="Heading 4"/>
    <w:basedOn w:val="729"/>
    <w:next w:val="729"/>
    <w:link w:val="926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734">
    <w:name w:val="Heading 5"/>
    <w:basedOn w:val="729"/>
    <w:next w:val="729"/>
    <w:link w:val="931"/>
    <w:qFormat/>
    <w:pPr>
      <w:ind w:right="567"/>
      <w:keepNext/>
      <w:tabs>
        <w:tab w:val="left" w:pos="-142" w:leader="none"/>
      </w:tabs>
      <w:outlineLvl w:val="4"/>
    </w:pPr>
    <w:rPr>
      <w:sz w:val="28"/>
      <w:szCs w:val="20"/>
      <w:lang w:val="en-US" w:eastAsia="en-US"/>
    </w:rPr>
  </w:style>
  <w:style w:type="paragraph" w:styleId="735">
    <w:name w:val="Heading 6"/>
    <w:basedOn w:val="729"/>
    <w:next w:val="729"/>
    <w:link w:val="932"/>
    <w:qFormat/>
    <w:pPr>
      <w:ind w:left="112" w:hanging="112"/>
      <w:keepNext/>
      <w:outlineLvl w:val="5"/>
    </w:pPr>
    <w:rPr>
      <w:color w:val="000000"/>
      <w:szCs w:val="20"/>
      <w:lang w:val="en-US" w:eastAsia="en-US"/>
    </w:rPr>
  </w:style>
  <w:style w:type="paragraph" w:styleId="736">
    <w:name w:val="Heading 7"/>
    <w:basedOn w:val="729"/>
    <w:next w:val="729"/>
    <w:link w:val="933"/>
    <w:qFormat/>
    <w:pPr>
      <w:jc w:val="center"/>
      <w:keepNext/>
      <w:outlineLvl w:val="6"/>
    </w:pPr>
    <w:rPr>
      <w:b/>
      <w:color w:val="000000"/>
      <w:szCs w:val="20"/>
      <w:lang w:val="en-US" w:eastAsia="en-US"/>
    </w:rPr>
  </w:style>
  <w:style w:type="paragraph" w:styleId="737">
    <w:name w:val="Heading 8"/>
    <w:basedOn w:val="729"/>
    <w:next w:val="729"/>
    <w:link w:val="934"/>
    <w:qFormat/>
    <w:pPr>
      <w:ind w:right="-99"/>
      <w:keepNext/>
      <w:outlineLvl w:val="7"/>
    </w:pPr>
    <w:rPr>
      <w:b/>
      <w:sz w:val="28"/>
      <w:szCs w:val="20"/>
      <w:lang w:val="en-US" w:eastAsia="en-US"/>
    </w:rPr>
  </w:style>
  <w:style w:type="paragraph" w:styleId="738">
    <w:name w:val="Heading 9"/>
    <w:basedOn w:val="729"/>
    <w:next w:val="729"/>
    <w:link w:val="935"/>
    <w:qFormat/>
    <w:pPr>
      <w:jc w:val="both"/>
      <w:keepNext/>
      <w:outlineLvl w:val="8"/>
    </w:pPr>
    <w:rPr>
      <w:b/>
      <w:sz w:val="28"/>
      <w:szCs w:val="20"/>
      <w:lang w:val="en-US" w:eastAsia="en-US"/>
    </w:rPr>
  </w:style>
  <w:style w:type="character" w:styleId="739" w:default="1">
    <w:name w:val="Default Paragraph Font"/>
    <w:uiPriority w:val="1"/>
    <w:unhideWhenUsed/>
  </w:style>
  <w:style w:type="table" w:styleId="7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1" w:default="1">
    <w:name w:val="No List"/>
    <w:uiPriority w:val="99"/>
    <w:semiHidden/>
    <w:unhideWhenUsed/>
  </w:style>
  <w:style w:type="character" w:styleId="742" w:customStyle="1">
    <w:name w:val="Heading 1 Char"/>
    <w:basedOn w:val="739"/>
    <w:uiPriority w:val="9"/>
    <w:rPr>
      <w:rFonts w:ascii="Arial" w:hAnsi="Arial" w:eastAsia="Arial" w:cs="Arial"/>
      <w:sz w:val="40"/>
      <w:szCs w:val="40"/>
    </w:rPr>
  </w:style>
  <w:style w:type="character" w:styleId="743" w:customStyle="1">
    <w:name w:val="Title Char"/>
    <w:basedOn w:val="739"/>
    <w:uiPriority w:val="10"/>
    <w:rPr>
      <w:sz w:val="48"/>
      <w:szCs w:val="48"/>
    </w:rPr>
  </w:style>
  <w:style w:type="character" w:styleId="744" w:customStyle="1">
    <w:name w:val="Subtitle Char"/>
    <w:basedOn w:val="739"/>
    <w:uiPriority w:val="11"/>
    <w:rPr>
      <w:sz w:val="24"/>
      <w:szCs w:val="24"/>
    </w:rPr>
  </w:style>
  <w:style w:type="character" w:styleId="745" w:customStyle="1">
    <w:name w:val="Quote Char"/>
    <w:uiPriority w:val="29"/>
    <w:rPr>
      <w:i/>
    </w:rPr>
  </w:style>
  <w:style w:type="character" w:styleId="746" w:customStyle="1">
    <w:name w:val="Intense Quote Char"/>
    <w:uiPriority w:val="30"/>
    <w:rPr>
      <w:i/>
    </w:rPr>
  </w:style>
  <w:style w:type="character" w:styleId="747" w:customStyle="1">
    <w:name w:val="Caption Char"/>
    <w:basedOn w:val="739"/>
    <w:uiPriority w:val="35"/>
    <w:rPr>
      <w:b/>
      <w:bCs/>
      <w:color w:val="4f81bd" w:themeColor="accent1"/>
      <w:sz w:val="18"/>
      <w:szCs w:val="18"/>
    </w:rPr>
  </w:style>
  <w:style w:type="character" w:styleId="748" w:customStyle="1">
    <w:name w:val="Footnote Text Char"/>
    <w:uiPriority w:val="99"/>
    <w:rPr>
      <w:sz w:val="18"/>
    </w:rPr>
  </w:style>
  <w:style w:type="character" w:styleId="749" w:customStyle="1">
    <w:name w:val="Endnote Text Char"/>
    <w:uiPriority w:val="99"/>
    <w:rPr>
      <w:sz w:val="20"/>
    </w:rPr>
  </w:style>
  <w:style w:type="character" w:styleId="750" w:customStyle="1">
    <w:name w:val="Заголовок 1 Знак"/>
    <w:link w:val="730"/>
    <w:uiPriority w:val="9"/>
    <w:rPr>
      <w:rFonts w:ascii="Arial" w:hAnsi="Arial" w:eastAsia="Arial" w:cs="Arial"/>
      <w:sz w:val="40"/>
      <w:szCs w:val="40"/>
    </w:rPr>
  </w:style>
  <w:style w:type="character" w:styleId="751" w:customStyle="1">
    <w:name w:val="Heading 2 Char"/>
    <w:uiPriority w:val="9"/>
    <w:rPr>
      <w:rFonts w:ascii="Arial" w:hAnsi="Arial" w:eastAsia="Arial" w:cs="Arial"/>
      <w:sz w:val="34"/>
    </w:rPr>
  </w:style>
  <w:style w:type="character" w:styleId="752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53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54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55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56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7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58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paragraph" w:styleId="759">
    <w:name w:val="No Spacing"/>
    <w:uiPriority w:val="1"/>
    <w:qFormat/>
  </w:style>
  <w:style w:type="paragraph" w:styleId="760">
    <w:name w:val="Title"/>
    <w:basedOn w:val="729"/>
    <w:next w:val="729"/>
    <w:link w:val="76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1" w:customStyle="1">
    <w:name w:val="Заголовок Знак"/>
    <w:link w:val="760"/>
    <w:uiPriority w:val="10"/>
    <w:rPr>
      <w:sz w:val="48"/>
      <w:szCs w:val="48"/>
    </w:rPr>
  </w:style>
  <w:style w:type="paragraph" w:styleId="762">
    <w:name w:val="Subtitle"/>
    <w:basedOn w:val="729"/>
    <w:next w:val="729"/>
    <w:link w:val="763"/>
    <w:uiPriority w:val="11"/>
    <w:qFormat/>
    <w:pPr>
      <w:spacing w:before="200" w:after="200"/>
    </w:pPr>
  </w:style>
  <w:style w:type="character" w:styleId="763" w:customStyle="1">
    <w:name w:val="Подзаголовок Знак"/>
    <w:link w:val="762"/>
    <w:uiPriority w:val="11"/>
    <w:rPr>
      <w:sz w:val="24"/>
      <w:szCs w:val="24"/>
    </w:rPr>
  </w:style>
  <w:style w:type="paragraph" w:styleId="764">
    <w:name w:val="Quote"/>
    <w:basedOn w:val="729"/>
    <w:next w:val="729"/>
    <w:link w:val="765"/>
    <w:uiPriority w:val="29"/>
    <w:qFormat/>
    <w:pPr>
      <w:ind w:left="720" w:right="720"/>
    </w:pPr>
    <w:rPr>
      <w:i/>
    </w:rPr>
  </w:style>
  <w:style w:type="character" w:styleId="765" w:customStyle="1">
    <w:name w:val="Цитата 2 Знак"/>
    <w:link w:val="764"/>
    <w:uiPriority w:val="29"/>
    <w:rPr>
      <w:i/>
    </w:rPr>
  </w:style>
  <w:style w:type="paragraph" w:styleId="766">
    <w:name w:val="Intense Quote"/>
    <w:basedOn w:val="729"/>
    <w:next w:val="729"/>
    <w:link w:val="76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7" w:customStyle="1">
    <w:name w:val="Выделенная цитата Знак"/>
    <w:link w:val="766"/>
    <w:uiPriority w:val="30"/>
    <w:rPr>
      <w:i/>
    </w:rPr>
  </w:style>
  <w:style w:type="paragraph" w:styleId="768">
    <w:name w:val="Header"/>
    <w:basedOn w:val="729"/>
    <w:link w:val="941"/>
    <w:pPr>
      <w:tabs>
        <w:tab w:val="center" w:pos="4153" w:leader="none"/>
        <w:tab w:val="right" w:pos="8306" w:leader="none"/>
      </w:tabs>
    </w:pPr>
    <w:rPr>
      <w:sz w:val="20"/>
      <w:szCs w:val="20"/>
    </w:rPr>
  </w:style>
  <w:style w:type="character" w:styleId="769" w:customStyle="1">
    <w:name w:val="Header Char"/>
    <w:uiPriority w:val="99"/>
  </w:style>
  <w:style w:type="paragraph" w:styleId="770">
    <w:name w:val="Footer"/>
    <w:basedOn w:val="729"/>
    <w:link w:val="944"/>
    <w:pPr>
      <w:tabs>
        <w:tab w:val="center" w:pos="4153" w:leader="none"/>
        <w:tab w:val="right" w:pos="8306" w:leader="none"/>
      </w:tabs>
    </w:pPr>
    <w:rPr>
      <w:sz w:val="20"/>
      <w:szCs w:val="20"/>
    </w:rPr>
  </w:style>
  <w:style w:type="character" w:styleId="771" w:customStyle="1">
    <w:name w:val="Footer Char"/>
    <w:uiPriority w:val="99"/>
  </w:style>
  <w:style w:type="paragraph" w:styleId="772">
    <w:name w:val="Caption"/>
    <w:basedOn w:val="729"/>
    <w:next w:val="729"/>
    <w:link w:val="77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3" w:customStyle="1">
    <w:name w:val="Название объекта Знак"/>
    <w:link w:val="772"/>
    <w:uiPriority w:val="35"/>
    <w:rPr>
      <w:b/>
      <w:bCs/>
      <w:color w:val="4f81bd" w:themeColor="accent1"/>
      <w:sz w:val="18"/>
      <w:szCs w:val="18"/>
    </w:rPr>
  </w:style>
  <w:style w:type="table" w:styleId="774">
    <w:name w:val="Table Grid"/>
    <w:basedOn w:val="740"/>
    <w:uiPriority w:val="39"/>
    <w:tblPr/>
  </w:style>
  <w:style w:type="table" w:styleId="775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6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7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8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9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3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04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05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06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07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08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09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12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15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16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7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8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19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20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21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2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3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40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43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44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1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4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5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6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7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68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69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70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71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72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0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1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2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3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4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5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6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7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8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9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90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1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92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93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4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95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96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97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98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99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00">
    <w:name w:val="Hyperlink"/>
    <w:uiPriority w:val="99"/>
    <w:unhideWhenUsed/>
    <w:rPr>
      <w:color w:val="0000ff" w:themeColor="hyperlink"/>
      <w:u w:val="single"/>
    </w:rPr>
  </w:style>
  <w:style w:type="paragraph" w:styleId="901">
    <w:name w:val="footnote text"/>
    <w:basedOn w:val="729"/>
    <w:link w:val="902"/>
    <w:uiPriority w:val="99"/>
    <w:semiHidden/>
    <w:unhideWhenUsed/>
    <w:pPr>
      <w:spacing w:after="40"/>
    </w:pPr>
    <w:rPr>
      <w:sz w:val="18"/>
    </w:rPr>
  </w:style>
  <w:style w:type="character" w:styleId="902" w:customStyle="1">
    <w:name w:val="Текст сноски Знак"/>
    <w:link w:val="901"/>
    <w:uiPriority w:val="99"/>
    <w:rPr>
      <w:sz w:val="18"/>
    </w:rPr>
  </w:style>
  <w:style w:type="character" w:styleId="903">
    <w:name w:val="footnote reference"/>
    <w:uiPriority w:val="99"/>
    <w:unhideWhenUsed/>
    <w:rPr>
      <w:vertAlign w:val="superscript"/>
    </w:rPr>
  </w:style>
  <w:style w:type="paragraph" w:styleId="904">
    <w:name w:val="endnote text"/>
    <w:basedOn w:val="729"/>
    <w:link w:val="905"/>
    <w:uiPriority w:val="99"/>
    <w:semiHidden/>
    <w:unhideWhenUsed/>
    <w:rPr>
      <w:sz w:val="20"/>
    </w:rPr>
  </w:style>
  <w:style w:type="character" w:styleId="905" w:customStyle="1">
    <w:name w:val="Текст концевой сноски Знак"/>
    <w:link w:val="904"/>
    <w:uiPriority w:val="99"/>
    <w:rPr>
      <w:sz w:val="20"/>
    </w:rPr>
  </w:style>
  <w:style w:type="character" w:styleId="906">
    <w:name w:val="endnote reference"/>
    <w:uiPriority w:val="99"/>
    <w:semiHidden/>
    <w:unhideWhenUsed/>
    <w:rPr>
      <w:vertAlign w:val="superscript"/>
    </w:rPr>
  </w:style>
  <w:style w:type="paragraph" w:styleId="907">
    <w:name w:val="toc 1"/>
    <w:basedOn w:val="729"/>
    <w:next w:val="729"/>
    <w:uiPriority w:val="39"/>
    <w:unhideWhenUsed/>
    <w:pPr>
      <w:spacing w:after="57"/>
    </w:pPr>
  </w:style>
  <w:style w:type="paragraph" w:styleId="908">
    <w:name w:val="toc 2"/>
    <w:basedOn w:val="729"/>
    <w:next w:val="729"/>
    <w:uiPriority w:val="39"/>
    <w:unhideWhenUsed/>
    <w:pPr>
      <w:ind w:left="283"/>
      <w:spacing w:after="57"/>
    </w:pPr>
  </w:style>
  <w:style w:type="paragraph" w:styleId="909">
    <w:name w:val="toc 3"/>
    <w:basedOn w:val="729"/>
    <w:next w:val="729"/>
    <w:uiPriority w:val="39"/>
    <w:unhideWhenUsed/>
    <w:pPr>
      <w:ind w:left="567"/>
      <w:spacing w:after="57"/>
    </w:pPr>
  </w:style>
  <w:style w:type="paragraph" w:styleId="910">
    <w:name w:val="toc 4"/>
    <w:basedOn w:val="729"/>
    <w:next w:val="729"/>
    <w:uiPriority w:val="39"/>
    <w:unhideWhenUsed/>
    <w:pPr>
      <w:ind w:left="850"/>
      <w:spacing w:after="57"/>
    </w:pPr>
  </w:style>
  <w:style w:type="paragraph" w:styleId="911">
    <w:name w:val="toc 5"/>
    <w:basedOn w:val="729"/>
    <w:next w:val="729"/>
    <w:uiPriority w:val="39"/>
    <w:unhideWhenUsed/>
    <w:pPr>
      <w:ind w:left="1134"/>
      <w:spacing w:after="57"/>
    </w:pPr>
  </w:style>
  <w:style w:type="paragraph" w:styleId="912">
    <w:name w:val="toc 6"/>
    <w:basedOn w:val="729"/>
    <w:next w:val="729"/>
    <w:uiPriority w:val="39"/>
    <w:unhideWhenUsed/>
    <w:pPr>
      <w:ind w:left="1417"/>
      <w:spacing w:after="57"/>
    </w:pPr>
  </w:style>
  <w:style w:type="paragraph" w:styleId="913">
    <w:name w:val="toc 7"/>
    <w:basedOn w:val="729"/>
    <w:next w:val="729"/>
    <w:uiPriority w:val="39"/>
    <w:unhideWhenUsed/>
    <w:pPr>
      <w:ind w:left="1701"/>
      <w:spacing w:after="57"/>
    </w:pPr>
  </w:style>
  <w:style w:type="paragraph" w:styleId="914">
    <w:name w:val="toc 8"/>
    <w:basedOn w:val="729"/>
    <w:next w:val="729"/>
    <w:uiPriority w:val="39"/>
    <w:unhideWhenUsed/>
    <w:pPr>
      <w:ind w:left="1984"/>
      <w:spacing w:after="57"/>
    </w:pPr>
  </w:style>
  <w:style w:type="paragraph" w:styleId="915">
    <w:name w:val="toc 9"/>
    <w:basedOn w:val="729"/>
    <w:next w:val="729"/>
    <w:uiPriority w:val="39"/>
    <w:unhideWhenUsed/>
    <w:pPr>
      <w:ind w:left="2268"/>
      <w:spacing w:after="57"/>
    </w:pPr>
  </w:style>
  <w:style w:type="paragraph" w:styleId="916">
    <w:name w:val="TOC Heading"/>
    <w:uiPriority w:val="39"/>
    <w:unhideWhenUsed/>
  </w:style>
  <w:style w:type="paragraph" w:styleId="917">
    <w:name w:val="table of figures"/>
    <w:basedOn w:val="729"/>
    <w:next w:val="729"/>
    <w:uiPriority w:val="99"/>
    <w:unhideWhenUsed/>
  </w:style>
  <w:style w:type="paragraph" w:styleId="918" w:customStyle="1">
    <w:name w:val="Знак Знак1 Знак Знак"/>
    <w:basedOn w:val="729"/>
    <w:pPr>
      <w:keepLines/>
      <w:spacing w:after="160" w:line="240" w:lineRule="exact"/>
    </w:pPr>
    <w:rPr>
      <w:rFonts w:ascii="Verdana" w:hAnsi="Verdana" w:eastAsia="MS Mincho" w:cs="Franklin Gothic Book"/>
      <w:sz w:val="20"/>
      <w:szCs w:val="20"/>
      <w:lang w:val="en-US" w:eastAsia="en-US"/>
    </w:rPr>
  </w:style>
  <w:style w:type="paragraph" w:styleId="919" w:customStyle="1">
    <w:name w:val="ConsPlusNonformat"/>
    <w:pPr>
      <w:widowControl w:val="off"/>
    </w:pPr>
    <w:rPr>
      <w:rFonts w:ascii="Courier New" w:hAnsi="Courier New" w:cs="Courier New"/>
      <w:lang w:eastAsia="ru-RU"/>
    </w:rPr>
  </w:style>
  <w:style w:type="paragraph" w:styleId="920">
    <w:name w:val="List Paragraph"/>
    <w:basedOn w:val="729"/>
    <w:uiPriority w:val="99"/>
    <w:qFormat/>
    <w:pPr>
      <w:contextualSpacing/>
      <w:ind w:left="720"/>
    </w:pPr>
  </w:style>
  <w:style w:type="paragraph" w:styleId="921">
    <w:name w:val="Balloon Text"/>
    <w:basedOn w:val="729"/>
    <w:link w:val="922"/>
    <w:rPr>
      <w:rFonts w:ascii="Tahoma" w:hAnsi="Tahoma"/>
      <w:sz w:val="16"/>
      <w:szCs w:val="16"/>
      <w:lang w:val="en-US" w:eastAsia="en-US"/>
    </w:rPr>
  </w:style>
  <w:style w:type="character" w:styleId="922" w:customStyle="1">
    <w:name w:val="Текст выноски Знак"/>
    <w:link w:val="921"/>
    <w:rPr>
      <w:rFonts w:ascii="Tahoma" w:hAnsi="Tahoma" w:cs="Tahoma"/>
      <w:sz w:val="16"/>
      <w:szCs w:val="16"/>
    </w:rPr>
  </w:style>
  <w:style w:type="paragraph" w:styleId="923">
    <w:name w:val="Body Text Indent"/>
    <w:basedOn w:val="729"/>
    <w:link w:val="924"/>
    <w:pPr>
      <w:ind w:left="-284"/>
      <w:jc w:val="center"/>
      <w:spacing w:before="60"/>
    </w:pPr>
    <w:rPr>
      <w:b/>
      <w:spacing w:val="30"/>
      <w:szCs w:val="20"/>
      <w:lang w:val="en-US" w:eastAsia="en-US"/>
    </w:rPr>
  </w:style>
  <w:style w:type="character" w:styleId="924" w:customStyle="1">
    <w:name w:val="Основной текст с отступом Знак"/>
    <w:link w:val="923"/>
    <w:rPr>
      <w:b/>
      <w:spacing w:val="30"/>
      <w:sz w:val="24"/>
      <w:lang w:val="en-US" w:eastAsia="en-US"/>
    </w:rPr>
  </w:style>
  <w:style w:type="paragraph" w:styleId="925" w:customStyle="1">
    <w:name w:val="Знак Знак Знак1 Знак Знак Знак Знак Знак Знак1 Знак Знак Знак Знак"/>
    <w:basedOn w:val="729"/>
    <w:pPr>
      <w:keepLines/>
      <w:spacing w:after="160" w:line="240" w:lineRule="exact"/>
    </w:pPr>
    <w:rPr>
      <w:rFonts w:ascii="Verdana" w:hAnsi="Verdana" w:eastAsia="MS Mincho" w:cs="Verdana"/>
      <w:sz w:val="20"/>
      <w:szCs w:val="20"/>
      <w:lang w:val="en-US" w:eastAsia="en-US"/>
    </w:rPr>
  </w:style>
  <w:style w:type="character" w:styleId="926" w:customStyle="1">
    <w:name w:val="Заголовок 4 Знак"/>
    <w:link w:val="733"/>
    <w:semiHidden/>
    <w:rPr>
      <w:rFonts w:ascii="Calibri" w:hAnsi="Calibri" w:eastAsia="Times New Roman" w:cs="Times New Roman"/>
      <w:b/>
      <w:bCs/>
      <w:sz w:val="28"/>
      <w:szCs w:val="28"/>
    </w:rPr>
  </w:style>
  <w:style w:type="paragraph" w:styleId="927">
    <w:name w:val="Body Text"/>
    <w:basedOn w:val="729"/>
    <w:link w:val="928"/>
    <w:pPr>
      <w:spacing w:after="120"/>
    </w:pPr>
    <w:rPr>
      <w:lang w:val="en-US" w:eastAsia="en-US"/>
    </w:rPr>
  </w:style>
  <w:style w:type="character" w:styleId="928" w:customStyle="1">
    <w:name w:val="Основной текст Знак"/>
    <w:link w:val="927"/>
    <w:rPr>
      <w:sz w:val="24"/>
      <w:szCs w:val="24"/>
    </w:rPr>
  </w:style>
  <w:style w:type="character" w:styleId="929" w:customStyle="1">
    <w:name w:val="Заголовок 2 Знак"/>
    <w:link w:val="731"/>
    <w:rPr>
      <w:sz w:val="28"/>
    </w:rPr>
  </w:style>
  <w:style w:type="character" w:styleId="930" w:customStyle="1">
    <w:name w:val="Заголовок 3 Знак"/>
    <w:link w:val="732"/>
    <w:rPr>
      <w:sz w:val="28"/>
    </w:rPr>
  </w:style>
  <w:style w:type="character" w:styleId="931" w:customStyle="1">
    <w:name w:val="Заголовок 5 Знак"/>
    <w:link w:val="734"/>
    <w:rPr>
      <w:sz w:val="28"/>
    </w:rPr>
  </w:style>
  <w:style w:type="character" w:styleId="932" w:customStyle="1">
    <w:name w:val="Заголовок 6 Знак"/>
    <w:link w:val="735"/>
    <w:rPr>
      <w:color w:val="000000"/>
      <w:sz w:val="24"/>
    </w:rPr>
  </w:style>
  <w:style w:type="character" w:styleId="933" w:customStyle="1">
    <w:name w:val="Заголовок 7 Знак"/>
    <w:link w:val="736"/>
    <w:rPr>
      <w:b/>
      <w:color w:val="000000"/>
      <w:sz w:val="24"/>
    </w:rPr>
  </w:style>
  <w:style w:type="character" w:styleId="934" w:customStyle="1">
    <w:name w:val="Заголовок 8 Знак"/>
    <w:link w:val="737"/>
    <w:rPr>
      <w:b/>
      <w:sz w:val="28"/>
    </w:rPr>
  </w:style>
  <w:style w:type="character" w:styleId="935" w:customStyle="1">
    <w:name w:val="Заголовок 9 Знак"/>
    <w:link w:val="738"/>
    <w:rPr>
      <w:b/>
      <w:sz w:val="28"/>
    </w:rPr>
  </w:style>
  <w:style w:type="paragraph" w:styleId="936">
    <w:name w:val="Body Text 2"/>
    <w:basedOn w:val="729"/>
    <w:link w:val="937"/>
    <w:pPr>
      <w:jc w:val="center"/>
    </w:pPr>
    <w:rPr>
      <w:sz w:val="32"/>
      <w:szCs w:val="20"/>
      <w:lang w:val="en-US" w:eastAsia="en-US"/>
    </w:rPr>
  </w:style>
  <w:style w:type="character" w:styleId="937" w:customStyle="1">
    <w:name w:val="Основной текст 2 Знак"/>
    <w:link w:val="936"/>
    <w:rPr>
      <w:sz w:val="32"/>
    </w:rPr>
  </w:style>
  <w:style w:type="paragraph" w:styleId="938">
    <w:name w:val="Block Text"/>
    <w:basedOn w:val="729"/>
    <w:pPr>
      <w:ind w:left="993" w:right="567" w:hanging="633"/>
    </w:pPr>
    <w:rPr>
      <w:sz w:val="28"/>
      <w:szCs w:val="20"/>
    </w:rPr>
  </w:style>
  <w:style w:type="paragraph" w:styleId="939">
    <w:name w:val="Body Text Indent 3"/>
    <w:basedOn w:val="729"/>
    <w:link w:val="940"/>
    <w:pPr>
      <w:ind w:left="28" w:hanging="28"/>
    </w:pPr>
    <w:rPr>
      <w:szCs w:val="20"/>
      <w:lang w:val="en-US" w:eastAsia="en-US"/>
    </w:rPr>
  </w:style>
  <w:style w:type="character" w:styleId="940" w:customStyle="1">
    <w:name w:val="Основной текст с отступом 3 Знак"/>
    <w:link w:val="939"/>
    <w:rPr>
      <w:sz w:val="24"/>
    </w:rPr>
  </w:style>
  <w:style w:type="character" w:styleId="941" w:customStyle="1">
    <w:name w:val="Верхний колонтитул Знак"/>
    <w:basedOn w:val="739"/>
    <w:link w:val="768"/>
  </w:style>
  <w:style w:type="paragraph" w:styleId="942">
    <w:name w:val="Body Text Indent 2"/>
    <w:basedOn w:val="729"/>
    <w:link w:val="943"/>
    <w:pPr>
      <w:ind w:firstLine="709"/>
      <w:jc w:val="both"/>
    </w:pPr>
    <w:rPr>
      <w:sz w:val="28"/>
      <w:szCs w:val="20"/>
      <w:lang w:val="en-US" w:eastAsia="en-US"/>
    </w:rPr>
  </w:style>
  <w:style w:type="character" w:styleId="943" w:customStyle="1">
    <w:name w:val="Основной текст с отступом 2 Знак"/>
    <w:link w:val="942"/>
    <w:rPr>
      <w:sz w:val="28"/>
    </w:rPr>
  </w:style>
  <w:style w:type="character" w:styleId="944" w:customStyle="1">
    <w:name w:val="Нижний колонтитул Знак"/>
    <w:basedOn w:val="739"/>
    <w:link w:val="770"/>
  </w:style>
  <w:style w:type="paragraph" w:styleId="945">
    <w:name w:val="Body Text 3"/>
    <w:basedOn w:val="729"/>
    <w:link w:val="946"/>
    <w:rPr>
      <w:sz w:val="28"/>
      <w:szCs w:val="20"/>
      <w:lang w:val="en-US" w:eastAsia="en-US"/>
    </w:rPr>
  </w:style>
  <w:style w:type="character" w:styleId="946" w:customStyle="1">
    <w:name w:val="Основной текст 3 Знак"/>
    <w:link w:val="945"/>
    <w:rPr>
      <w:sz w:val="28"/>
    </w:rPr>
  </w:style>
  <w:style w:type="paragraph" w:styleId="947">
    <w:name w:val="Document Map"/>
    <w:basedOn w:val="729"/>
    <w:link w:val="948"/>
    <w:pPr>
      <w:shd w:val="clear" w:color="auto" w:fill="000080"/>
    </w:pPr>
    <w:rPr>
      <w:rFonts w:ascii="Tahoma" w:hAnsi="Tahoma"/>
      <w:sz w:val="20"/>
      <w:szCs w:val="20"/>
      <w:lang w:val="en-US" w:eastAsia="en-US"/>
    </w:rPr>
  </w:style>
  <w:style w:type="character" w:styleId="948" w:customStyle="1">
    <w:name w:val="Схема документа Знак"/>
    <w:link w:val="947"/>
    <w:rPr>
      <w:rFonts w:ascii="Tahoma" w:hAnsi="Tahoma" w:cs="Tahoma"/>
      <w:shd w:val="clear" w:color="auto" w:fill="000080"/>
    </w:rPr>
  </w:style>
  <w:style w:type="character" w:styleId="949">
    <w:name w:val="page number"/>
  </w:style>
  <w:style w:type="paragraph" w:styleId="950" w:customStyle="1">
    <w:name w:val="Style5"/>
    <w:basedOn w:val="729"/>
    <w:pPr>
      <w:ind w:firstLine="734"/>
      <w:jc w:val="both"/>
      <w:spacing w:line="259" w:lineRule="exact"/>
      <w:widowControl w:val="off"/>
    </w:pPr>
    <w:rPr>
      <w:rFonts w:ascii="Bookman Old Style" w:hAnsi="Bookman Old Style" w:cs="Bookman Old Style"/>
    </w:rPr>
  </w:style>
  <w:style w:type="paragraph" w:styleId="951" w:customStyle="1">
    <w:name w:val="Style6"/>
    <w:basedOn w:val="729"/>
    <w:pPr>
      <w:spacing w:line="288" w:lineRule="exact"/>
      <w:widowControl w:val="off"/>
    </w:pPr>
    <w:rPr>
      <w:rFonts w:ascii="Bookman Old Style" w:hAnsi="Bookman Old Style" w:cs="Bookman Old Style"/>
    </w:rPr>
  </w:style>
  <w:style w:type="paragraph" w:styleId="952" w:customStyle="1">
    <w:name w:val="Style2"/>
    <w:basedOn w:val="729"/>
    <w:pPr>
      <w:widowControl w:val="off"/>
    </w:pPr>
  </w:style>
  <w:style w:type="paragraph" w:styleId="953" w:customStyle="1">
    <w:name w:val="Style7"/>
    <w:basedOn w:val="729"/>
    <w:pPr>
      <w:jc w:val="center"/>
      <w:spacing w:line="255" w:lineRule="exact"/>
      <w:widowControl w:val="off"/>
    </w:pPr>
  </w:style>
  <w:style w:type="character" w:styleId="954" w:customStyle="1">
    <w:name w:val="Font Style11"/>
    <w:rPr>
      <w:rFonts w:ascii="Times New Roman" w:hAnsi="Times New Roman" w:cs="Times New Roman"/>
      <w:sz w:val="22"/>
      <w:szCs w:val="22"/>
    </w:rPr>
  </w:style>
  <w:style w:type="character" w:styleId="955" w:customStyle="1">
    <w:name w:val="Font Style12"/>
    <w:rPr>
      <w:rFonts w:ascii="Times New Roman" w:hAnsi="Times New Roman" w:cs="Times New Roman"/>
      <w:sz w:val="20"/>
      <w:szCs w:val="20"/>
    </w:rPr>
  </w:style>
  <w:style w:type="paragraph" w:styleId="956" w:customStyle="1">
    <w:name w:val="Table Paragraph"/>
    <w:basedOn w:val="729"/>
    <w:uiPriority w:val="1"/>
    <w:qFormat/>
    <w:pPr>
      <w:ind w:left="105"/>
      <w:spacing w:line="270" w:lineRule="exact"/>
      <w:widowControl w:val="off"/>
    </w:pPr>
    <w:rPr>
      <w:sz w:val="22"/>
      <w:szCs w:val="22"/>
      <w:lang w:bidi="ru-RU"/>
    </w:rPr>
  </w:style>
  <w:style w:type="character" w:styleId="957" w:customStyle="1">
    <w:name w:val="Body text_"/>
    <w:link w:val="958"/>
    <w:uiPriority w:val="99"/>
    <w:rPr>
      <w:sz w:val="23"/>
      <w:shd w:val="clear" w:color="auto" w:fill="ffffff"/>
    </w:rPr>
  </w:style>
  <w:style w:type="paragraph" w:styleId="958" w:customStyle="1">
    <w:name w:val="Основной текст2"/>
    <w:basedOn w:val="729"/>
    <w:link w:val="957"/>
    <w:uiPriority w:val="99"/>
    <w:pPr>
      <w:spacing w:before="240" w:after="3360" w:line="240" w:lineRule="atLeast"/>
      <w:shd w:val="clear" w:color="auto" w:fill="ffffff"/>
    </w:pPr>
    <w:rPr>
      <w:sz w:val="23"/>
      <w:szCs w:val="20"/>
      <w:lang w:val="en-US" w:eastAsia="en-US"/>
    </w:rPr>
  </w:style>
  <w:style w:type="character" w:styleId="959">
    <w:name w:val="annotation reference"/>
    <w:rPr>
      <w:sz w:val="16"/>
      <w:szCs w:val="16"/>
    </w:rPr>
  </w:style>
  <w:style w:type="paragraph" w:styleId="960">
    <w:name w:val="annotation text"/>
    <w:basedOn w:val="729"/>
    <w:link w:val="961"/>
    <w:rPr>
      <w:sz w:val="20"/>
      <w:szCs w:val="20"/>
    </w:rPr>
  </w:style>
  <w:style w:type="character" w:styleId="961" w:customStyle="1">
    <w:name w:val="Текст примечания Знак"/>
    <w:basedOn w:val="739"/>
    <w:link w:val="960"/>
  </w:style>
  <w:style w:type="paragraph" w:styleId="962">
    <w:name w:val="annotation subject"/>
    <w:basedOn w:val="960"/>
    <w:next w:val="960"/>
    <w:link w:val="963"/>
    <w:rPr>
      <w:b/>
      <w:bCs/>
    </w:rPr>
  </w:style>
  <w:style w:type="character" w:styleId="963" w:customStyle="1">
    <w:name w:val="Тема примечания Знак"/>
    <w:link w:val="962"/>
    <w:rPr>
      <w:b/>
      <w:bCs/>
    </w:rPr>
  </w:style>
  <w:style w:type="table" w:styleId="964" w:customStyle="1">
    <w:name w:val="Сетка таблицы1"/>
    <w:basedOn w:val="740"/>
    <w:next w:val="774"/>
    <w:uiPriority w:val="39"/>
    <w:rPr>
      <w:rFonts w:ascii="Calibri" w:hAnsi="Calibri" w:eastAsia="Calibri"/>
      <w:sz w:val="22"/>
      <w:szCs w:val="22"/>
      <w:lang w:eastAsia="en-US"/>
    </w:rPr>
    <w:tblPr/>
  </w:style>
  <w:style w:type="paragraph" w:styleId="965" w:customStyle="1">
    <w:name w:val="Style1"/>
    <w:basedOn w:val="729"/>
    <w:qFormat/>
    <w:pPr>
      <w:jc w:val="both"/>
      <w:spacing w:line="276" w:lineRule="auto"/>
    </w:pPr>
    <w:rPr>
      <w:rFonts w:eastAsia="Calibri"/>
      <w:sz w:val="27"/>
      <w:lang w:eastAsia="en-US"/>
    </w:rPr>
  </w:style>
  <w:style w:type="paragraph" w:styleId="966" w:customStyle="1">
    <w:name w:val="Default"/>
    <w:rPr>
      <w:color w:val="000000"/>
      <w:sz w:val="24"/>
      <w:szCs w:val="24"/>
    </w:rPr>
  </w:style>
  <w:style w:type="paragraph" w:styleId="967" w:customStyle="1">
    <w:name w:val="Абзац списка"/>
    <w:basedOn w:val="907"/>
    <w:next w:val="961"/>
    <w:link w:val="907"/>
    <w:uiPriority w:val="99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media1.sv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media2.sv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Relationship Id="rId40" Type="http://schemas.openxmlformats.org/officeDocument/2006/relationships/image" Target="media/image30.png"/><Relationship Id="rId41" Type="http://schemas.openxmlformats.org/officeDocument/2006/relationships/image" Target="media/image31.png"/><Relationship Id="rId42" Type="http://schemas.openxmlformats.org/officeDocument/2006/relationships/image" Target="media/image3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Слободская Е.</dc:creator>
  <cp:lastModifiedBy>oiu_dmitrieva</cp:lastModifiedBy>
  <cp:revision>6</cp:revision>
  <dcterms:created xsi:type="dcterms:W3CDTF">2026-08-30T14:53:00Z</dcterms:created>
  <dcterms:modified xsi:type="dcterms:W3CDTF">2026-09-10T15:44:43Z</dcterms:modified>
  <cp:version>983040</cp:version>
</cp:coreProperties>
</file>