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7"/>
        <w:jc w:val="center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385" cy="683895"/>
                <wp:effectExtent l="0" t="0" r="0" b="1905"/>
                <wp:docPr id="1" name="Рисунок 2" descr="Obl_G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Obl_G40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0385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55pt;height:53.8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КОМИТЕТ ГРАДОСТРОИТЕЛЬНОЙ ПОЛИТИКИ</w:t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ЛЕНИНГРАДСКОЙ ОБЛАСТИ</w:t>
      </w:r>
      <w:r>
        <w:rPr>
          <w:bCs/>
          <w:sz w:val="28"/>
          <w:szCs w:val="28"/>
        </w:rPr>
      </w:r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</w:t>
      </w:r>
      <w:r>
        <w:rPr>
          <w:sz w:val="28"/>
          <w:szCs w:val="28"/>
        </w:rPr>
      </w:r>
    </w:p>
    <w:p>
      <w:pPr>
        <w:pStyle w:val="637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</w:r>
      <w:r>
        <w:rPr>
          <w:rFonts w:ascii="Times New Roman" w:hAnsi="Times New Roman" w:cs="Times New Roman"/>
          <w:b w:val="0"/>
          <w:bCs/>
          <w:sz w:val="28"/>
          <w:szCs w:val="28"/>
        </w:rPr>
      </w:r>
    </w:p>
    <w:p>
      <w:pPr>
        <w:pStyle w:val="63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Style w:val="637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____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_____________________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_____</w:t>
      </w:r>
      <w:r>
        <w:rPr>
          <w:rFonts w:ascii="Times New Roman" w:hAnsi="Times New Roman" w:cs="Times New Roman"/>
          <w:b w:val="0"/>
          <w:bCs/>
          <w:sz w:val="28"/>
          <w:szCs w:val="28"/>
        </w:rPr>
      </w:r>
    </w:p>
    <w:p>
      <w:pPr>
        <w:pStyle w:val="63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б отмене </w:t>
      </w:r>
      <w:r>
        <w:rPr>
          <w:b/>
          <w:sz w:val="28"/>
          <w:szCs w:val="28"/>
          <w:lang w:eastAsia="en-US"/>
        </w:rPr>
        <w:t xml:space="preserve">документации по планировке территории, входящей в границы </w:t>
      </w:r>
      <w:r>
        <w:rPr>
          <w:b/>
          <w:sz w:val="28"/>
          <w:szCs w:val="28"/>
          <w:lang w:eastAsia="en-US"/>
        </w:rPr>
        <w:t xml:space="preserve">особой экономической зоны промышленно-производственного типа </w:t>
      </w:r>
      <w:r>
        <w:rPr>
          <w:b/>
          <w:sz w:val="28"/>
          <w:szCs w:val="28"/>
          <w:lang w:eastAsia="en-US"/>
        </w:rPr>
        <w:br/>
      </w:r>
      <w:r>
        <w:rPr>
          <w:b/>
          <w:sz w:val="28"/>
          <w:szCs w:val="28"/>
          <w:lang w:eastAsia="en-US"/>
        </w:rPr>
        <w:t xml:space="preserve">«Усть-Луга» в Кингисеппском муниципальном районе </w:t>
      </w:r>
      <w:r>
        <w:rPr>
          <w:b/>
          <w:sz w:val="28"/>
          <w:szCs w:val="28"/>
          <w:lang w:eastAsia="en-US"/>
        </w:rPr>
        <w:br/>
      </w:r>
      <w:r>
        <w:rPr>
          <w:b/>
          <w:sz w:val="28"/>
          <w:szCs w:val="28"/>
          <w:lang w:eastAsia="en-US"/>
        </w:rPr>
        <w:t xml:space="preserve">Ленинградской области</w:t>
      </w:r>
      <w:r>
        <w:rPr>
          <w:b/>
          <w:sz w:val="28"/>
          <w:szCs w:val="28"/>
        </w:rPr>
      </w:r>
    </w:p>
    <w:p>
      <w:pPr>
        <w:pStyle w:val="647"/>
        <w:ind w:right="-143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В соответствии со статьями 45, 46 Градостроительного кодекса Российской Федерации, частью 2 статьи 1 областного закона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07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>
        <w:rPr>
          <w:sz w:val="28"/>
          <w:szCs w:val="28"/>
        </w:rPr>
        <w:t xml:space="preserve">пунктом 2.</w:t>
      </w:r>
      <w:r>
        <w:rPr>
          <w:sz w:val="28"/>
          <w:szCs w:val="28"/>
        </w:rPr>
        <w:t xml:space="preserve">9 Положения </w:t>
      </w:r>
      <w:r>
        <w:rPr>
          <w:sz w:val="28"/>
          <w:szCs w:val="28"/>
        </w:rPr>
        <w:t xml:space="preserve">о Комитете градостроительной политики Ленинградской области</w:t>
      </w:r>
      <w:r>
        <w:rPr>
          <w:sz w:val="28"/>
          <w:szCs w:val="28"/>
        </w:rPr>
        <w:t xml:space="preserve">, утвержденного п</w:t>
      </w:r>
      <w:r>
        <w:rPr>
          <w:sz w:val="28"/>
          <w:szCs w:val="28"/>
        </w:rPr>
        <w:t xml:space="preserve">остановление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Правительства Ленинградской области от </w:t>
      </w:r>
      <w:r>
        <w:rPr>
          <w:sz w:val="28"/>
          <w:szCs w:val="28"/>
        </w:rPr>
        <w:t xml:space="preserve">09 сентября </w:t>
      </w:r>
      <w:r>
        <w:rPr>
          <w:sz w:val="28"/>
          <w:szCs w:val="28"/>
        </w:rPr>
        <w:t xml:space="preserve">201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421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на основании </w:t>
      </w:r>
      <w:r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распоряжения к</w:t>
      </w:r>
      <w:r>
        <w:rPr>
          <w:color w:val="000000" w:themeColor="text1"/>
          <w:sz w:val="28"/>
          <w:szCs w:val="28"/>
        </w:rPr>
        <w:t xml:space="preserve">омитета</w:t>
      </w:r>
      <w:r>
        <w:rPr>
          <w:sz w:val="28"/>
          <w:szCs w:val="28"/>
        </w:rPr>
        <w:t xml:space="preserve"> градостроительной политики Ленинградской области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312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en-US"/>
        </w:rPr>
        <w:t xml:space="preserve">Об утверждении </w:t>
      </w:r>
      <w:r>
        <w:rPr>
          <w:sz w:val="28"/>
          <w:szCs w:val="28"/>
          <w:lang w:eastAsia="en-US"/>
        </w:rPr>
        <w:t xml:space="preserve">проект</w:t>
      </w:r>
      <w:r>
        <w:rPr>
          <w:sz w:val="28"/>
          <w:szCs w:val="28"/>
          <w:lang w:eastAsia="en-US"/>
        </w:rPr>
        <w:t xml:space="preserve">а</w:t>
      </w:r>
      <w:r>
        <w:rPr>
          <w:sz w:val="28"/>
          <w:szCs w:val="28"/>
          <w:lang w:eastAsia="en-US"/>
        </w:rPr>
        <w:t xml:space="preserve"> планировки территории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особой экономической зоны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промышленно-производственного типа «Усть-Луга»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в Кингисеппском муниципальном районе Ленинградской области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14:ligatures w14:val="none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 xml:space="preserve">проект планировки территории и проект</w:t>
      </w:r>
      <w:r>
        <w:rPr>
          <w:sz w:val="28"/>
          <w:szCs w:val="28"/>
        </w:rPr>
        <w:t xml:space="preserve"> межевания территории в целях размещения  газоперерабатывающего комплекса в составе объекта «Комплекс переработки этансодержащего газа» в Кингисеппском муниципальном районе Ленинградской области</w:t>
      </w:r>
      <w:r>
        <w:rPr>
          <w:sz w:val="28"/>
          <w:szCs w:val="28"/>
        </w:rPr>
        <w:t xml:space="preserve">, утвержденные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приказ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>
        <w:rPr>
          <w:sz w:val="28"/>
          <w:szCs w:val="28"/>
        </w:rPr>
        <w:t xml:space="preserve">градостроительной политики Ленинградской области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09 июля 2021 года № </w:t>
      </w:r>
      <w:r>
        <w:rPr>
          <w:sz w:val="28"/>
          <w:szCs w:val="28"/>
        </w:rPr>
        <w:t xml:space="preserve">93 (с изменениями, внесенными приказом Комитета градострои</w:t>
      </w:r>
      <w:r>
        <w:rPr>
          <w:sz w:val="28"/>
          <w:szCs w:val="28"/>
        </w:rPr>
        <w:t xml:space="preserve">тельной политики Ленинградской области от </w:t>
      </w:r>
      <w:r>
        <w:rPr>
          <w:sz w:val="28"/>
          <w:szCs w:val="28"/>
        </w:rPr>
        <w:t xml:space="preserve">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сентября2022 </w:t>
      </w:r>
      <w:r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138).</w:t>
      </w:r>
      <w:r>
        <w:rPr>
          <w:sz w:val="28"/>
          <w:szCs w:val="28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 xml:space="preserve">проект планировки территории и проект</w:t>
      </w:r>
      <w:r>
        <w:rPr>
          <w:sz w:val="28"/>
          <w:szCs w:val="28"/>
        </w:rPr>
        <w:t xml:space="preserve"> межевания территории в целях размещения  газохимического комплекса в составе объекта «Комплекс переработки этансодержащего газа» в Кингисеппском муниципальном районе Ленинградской области</w:t>
      </w:r>
      <w:r>
        <w:rPr>
          <w:sz w:val="28"/>
          <w:szCs w:val="28"/>
        </w:rPr>
        <w:t xml:space="preserve">, утвержденные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приказ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Комитета градостроительной политики Ленинградской области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09 июля 2021 года № </w:t>
      </w:r>
      <w:r>
        <w:rPr>
          <w:sz w:val="28"/>
          <w:szCs w:val="28"/>
        </w:rPr>
        <w:t xml:space="preserve">94.</w:t>
      </w:r>
      <w:r>
        <w:rPr>
          <w:sz w:val="28"/>
          <w:szCs w:val="28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проект планировки территории и проект межевания территории</w:t>
      </w:r>
      <w:r>
        <w:rPr>
          <w:sz w:val="28"/>
          <w:szCs w:val="28"/>
        </w:rPr>
        <w:t xml:space="preserve">, предусматривающих размещение линейных объектов  газохимического комплекса в составе объекта «Комплекс переработки этансодержащего газа» в Кингисеппском муниципальном районе </w:t>
      </w:r>
      <w:r>
        <w:rPr>
          <w:sz w:val="28"/>
          <w:szCs w:val="28"/>
        </w:rPr>
        <w:t xml:space="preserve">Ленинградской области</w:t>
      </w:r>
      <w:r>
        <w:rPr>
          <w:sz w:val="28"/>
          <w:szCs w:val="28"/>
        </w:rPr>
        <w:t xml:space="preserve">, утвержденные приказом Комитета градостроительной политики Ленинградской области от 09 июля 2021 года № </w:t>
      </w:r>
      <w:r>
        <w:rPr>
          <w:sz w:val="28"/>
          <w:szCs w:val="28"/>
        </w:rPr>
        <w:t xml:space="preserve">95, </w:t>
      </w:r>
      <w:r>
        <w:rPr>
          <w:sz w:val="28"/>
          <w:szCs w:val="28"/>
        </w:rPr>
        <w:t xml:space="preserve">применительно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к территории, в отношении которой </w:t>
      </w:r>
      <w:r>
        <w:rPr>
          <w:sz w:val="28"/>
          <w:szCs w:val="28"/>
        </w:rPr>
        <w:t xml:space="preserve">распоряжением к</w:t>
      </w:r>
      <w:r>
        <w:rPr>
          <w:sz w:val="28"/>
          <w:szCs w:val="28"/>
        </w:rPr>
        <w:t xml:space="preserve">омитета градостроительной политики Ленинградской области от 02 октября 2026 года № 312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 проект</w:t>
      </w:r>
      <w:r>
        <w:rPr>
          <w:sz w:val="28"/>
          <w:szCs w:val="28"/>
        </w:rPr>
        <w:t xml:space="preserve"> планировки территории особой экономической зоны промышленно-производственного типа «Усть-Луга» в Кингисеппском муниципальном районе Ленинградской области, в соответствии со схемой границ территории согласно приложению №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 xml:space="preserve">приказу.</w:t>
      </w:r>
      <w:r>
        <w:rPr>
          <w:sz w:val="28"/>
          <w:szCs w:val="28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проект планировки территории и проект межевания территории, предусматривающих размещение линейных объектов </w:t>
      </w:r>
      <w:r>
        <w:rPr>
          <w:sz w:val="28"/>
          <w:szCs w:val="28"/>
        </w:rPr>
        <w:t xml:space="preserve">инженерной и транспортной инфраструктуры газоперерабатывающего</w:t>
      </w:r>
      <w:r>
        <w:rPr>
          <w:sz w:val="28"/>
          <w:szCs w:val="28"/>
        </w:rPr>
        <w:t xml:space="preserve"> комплекса в составе объекта «Комплекс переработки этансодержащего газа» в Кингисеппском муниципальном районе Ленинградской области, утвержденные приказом Комитета градостроительной политики Ленинградской области от</w:t>
      </w:r>
      <w:r>
        <w:rPr>
          <w:sz w:val="28"/>
          <w:szCs w:val="28"/>
        </w:rPr>
        <w:t xml:space="preserve"> 02 августа </w:t>
      </w:r>
      <w:r>
        <w:rPr>
          <w:sz w:val="28"/>
          <w:szCs w:val="28"/>
        </w:rPr>
        <w:t xml:space="preserve">2021 года №</w:t>
      </w:r>
      <w:r>
        <w:rPr>
          <w:sz w:val="28"/>
          <w:szCs w:val="28"/>
        </w:rPr>
        <w:t xml:space="preserve"> 106 (с изменениями, внесенными приказом Комитета градостроительной политики Ленинградской области от 24 мая 2022 года № 65)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применительно</w:t>
      </w:r>
      <w:r>
        <w:rPr>
          <w:sz w:val="28"/>
          <w:szCs w:val="28"/>
        </w:rPr>
        <w:t xml:space="preserve"> к территории, в отношении которой </w:t>
      </w:r>
      <w:r>
        <w:rPr>
          <w:sz w:val="28"/>
          <w:szCs w:val="28"/>
        </w:rPr>
        <w:t xml:space="preserve">распоряжением к</w:t>
      </w:r>
      <w:r>
        <w:rPr>
          <w:sz w:val="28"/>
          <w:szCs w:val="28"/>
        </w:rPr>
        <w:t xml:space="preserve">омитета градостроительной политики Ленинградской области от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02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 </w:t>
      </w:r>
      <w:r>
        <w:rPr>
          <w:sz w:val="28"/>
          <w:szCs w:val="28"/>
        </w:rPr>
        <w:t xml:space="preserve">2026 года № 312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 проект планировки территории особой экономической зоны промышленно-производственного типа «Усть-Луга» в Кингисеппском муниципальном районе Ленинградской области, в соответствии со схемой границ территории согласно приложению №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 xml:space="preserve">приказу.</w:t>
      </w:r>
      <w:r>
        <w:rPr>
          <w:sz w:val="28"/>
          <w:szCs w:val="28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проект планировки территории и проект межевания территории, предусматривающих размещение линейных объектов </w:t>
      </w:r>
      <w:r>
        <w:rPr>
          <w:sz w:val="28"/>
          <w:szCs w:val="28"/>
        </w:rPr>
        <w:t xml:space="preserve">в границах земельного участка 47:20:0000000:3160 до морского отгрузочного терминала </w:t>
      </w:r>
      <w:r>
        <w:rPr>
          <w:sz w:val="28"/>
          <w:szCs w:val="28"/>
        </w:rPr>
        <w:t xml:space="preserve">газоперерабатывающего </w:t>
      </w:r>
      <w:r>
        <w:rPr>
          <w:sz w:val="28"/>
          <w:szCs w:val="28"/>
        </w:rPr>
        <w:t xml:space="preserve">комплекса в составе объекта «Комплекс переработки этансодержащего газа» в Кингисеппском муниципальном районе Ленинградской области, утвержденные приказом Комитета градостроительной политики Ленинградской области от </w:t>
      </w:r>
      <w:r>
        <w:rPr>
          <w:sz w:val="28"/>
          <w:szCs w:val="28"/>
        </w:rPr>
        <w:t xml:space="preserve">31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72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применительно к территории, в отношении которой </w:t>
      </w:r>
      <w:r>
        <w:rPr>
          <w:sz w:val="28"/>
          <w:szCs w:val="28"/>
        </w:rPr>
        <w:t xml:space="preserve">распоряжением к</w:t>
      </w:r>
      <w:r>
        <w:rPr>
          <w:sz w:val="28"/>
          <w:szCs w:val="28"/>
        </w:rPr>
        <w:t xml:space="preserve">омитета</w:t>
      </w:r>
      <w:r>
        <w:rPr>
          <w:sz w:val="28"/>
          <w:szCs w:val="28"/>
        </w:rPr>
        <w:t xml:space="preserve"> градостроительной политики Ленинградской области от 02 октября 2026 года № 312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 проект планировки территории особой экономической зоны промышленно-производственного типа «Усть-Луга» в Кингисеппском муниципальном районе Ленинградской области, в соответствии со схемой границ территории согласно приложению №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 xml:space="preserve">приказу.</w:t>
      </w:r>
      <w:r>
        <w:rPr>
          <w:sz w:val="28"/>
          <w:szCs w:val="28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 xml:space="preserve">проект планировки территории и проект</w:t>
      </w:r>
      <w:r>
        <w:rPr>
          <w:sz w:val="28"/>
          <w:szCs w:val="28"/>
        </w:rPr>
        <w:t xml:space="preserve"> межевания территории в целях размещения </w:t>
      </w:r>
      <w:r>
        <w:rPr>
          <w:sz w:val="28"/>
          <w:szCs w:val="28"/>
        </w:rPr>
        <w:t xml:space="preserve">завода по производству СПГ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газоперерабатывающего </w:t>
      </w:r>
      <w:r>
        <w:rPr>
          <w:sz w:val="28"/>
          <w:szCs w:val="28"/>
        </w:rPr>
        <w:t xml:space="preserve">комплекса в составе объекта «Комплекс переработки этансодержащего газа» в Кингисеппском муниципальном районе Ленинградской области</w:t>
      </w:r>
      <w:r>
        <w:rPr>
          <w:sz w:val="28"/>
          <w:szCs w:val="28"/>
        </w:rPr>
        <w:t xml:space="preserve">, утвержденные </w:t>
      </w:r>
      <w:r>
        <w:rPr>
          <w:sz w:val="28"/>
          <w:szCs w:val="28"/>
        </w:rPr>
        <w:t xml:space="preserve">приказ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Комитета градостроительной политики Ленинградской области от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июля </w:t>
      </w:r>
      <w:r>
        <w:rPr>
          <w:sz w:val="28"/>
          <w:szCs w:val="28"/>
        </w:rPr>
        <w:t xml:space="preserve">2022</w:t>
      </w:r>
      <w:r>
        <w:rPr>
          <w:sz w:val="28"/>
          <w:szCs w:val="28"/>
        </w:rPr>
        <w:t xml:space="preserve"> </w:t>
      </w:r>
      <w:bookmarkStart w:id="0" w:name="_GoBack"/>
      <w:r/>
      <w:bookmarkEnd w:id="0"/>
      <w:r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102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numPr>
          <w:ilvl w:val="0"/>
          <w:numId w:val="7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настоящего </w:t>
      </w:r>
      <w:r>
        <w:rPr>
          <w:sz w:val="28"/>
          <w:szCs w:val="28"/>
        </w:rPr>
        <w:t xml:space="preserve">приказа</w:t>
      </w:r>
      <w:r>
        <w:rPr>
          <w:sz w:val="28"/>
          <w:szCs w:val="28"/>
        </w:rPr>
        <w:t xml:space="preserve"> направить </w:t>
      </w:r>
      <w:r>
        <w:rPr>
          <w:sz w:val="28"/>
          <w:szCs w:val="28"/>
        </w:rPr>
        <w:t xml:space="preserve">главе </w:t>
      </w:r>
      <w:r>
        <w:rPr>
          <w:sz w:val="28"/>
          <w:szCs w:val="28"/>
        </w:rPr>
        <w:t xml:space="preserve">Усть-Лужского сельского</w:t>
      </w:r>
      <w:r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Кингисеппского</w:t>
      </w:r>
      <w:r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Ленинградской </w:t>
      </w:r>
      <w:r>
        <w:rPr>
          <w:sz w:val="28"/>
          <w:szCs w:val="28"/>
        </w:rPr>
        <w:t xml:space="preserve">области,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в сетевом издании «Электронное опубликование документов» Ленинградской области в сети «Интернет»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</w:t>
      </w:r>
      <w:r>
        <w:rPr>
          <w:sz w:val="28"/>
          <w:szCs w:val="28"/>
        </w:rPr>
        <w:t xml:space="preserve"> комитета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И.Я. Кулаков</w:t>
      </w:r>
      <w:r>
        <w:rPr>
          <w:sz w:val="28"/>
          <w:szCs w:val="28"/>
        </w:rPr>
      </w:r>
    </w:p>
    <w:p>
      <w:pPr>
        <w:ind w:left="4962"/>
        <w:jc w:val="right"/>
        <w:widowControl w:val="off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  <w:r>
        <w:rPr>
          <w:rFonts w:eastAsia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993" w:right="851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5" w:hanging="42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1"/>
    <w:next w:val="63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1"/>
    <w:next w:val="63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3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33"/>
    <w:link w:val="63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1"/>
    <w:next w:val="63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1"/>
    <w:next w:val="63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1"/>
    <w:next w:val="63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1"/>
    <w:next w:val="63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1"/>
    <w:next w:val="63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1"/>
    <w:next w:val="63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31"/>
    <w:next w:val="63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3"/>
    <w:link w:val="35"/>
    <w:uiPriority w:val="10"/>
    <w:rPr>
      <w:sz w:val="48"/>
      <w:szCs w:val="48"/>
    </w:rPr>
  </w:style>
  <w:style w:type="paragraph" w:styleId="37">
    <w:name w:val="Subtitle"/>
    <w:basedOn w:val="631"/>
    <w:next w:val="63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33"/>
    <w:link w:val="37"/>
    <w:uiPriority w:val="11"/>
    <w:rPr>
      <w:sz w:val="24"/>
      <w:szCs w:val="24"/>
    </w:rPr>
  </w:style>
  <w:style w:type="paragraph" w:styleId="39">
    <w:name w:val="Quote"/>
    <w:basedOn w:val="631"/>
    <w:next w:val="63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1"/>
    <w:next w:val="63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3"/>
    <w:link w:val="43"/>
    <w:uiPriority w:val="99"/>
  </w:style>
  <w:style w:type="paragraph" w:styleId="45">
    <w:name w:val="Footer"/>
    <w:basedOn w:val="63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3"/>
    <w:link w:val="45"/>
    <w:uiPriority w:val="99"/>
  </w:style>
  <w:style w:type="paragraph" w:styleId="47">
    <w:name w:val="Caption"/>
    <w:basedOn w:val="631"/>
    <w:next w:val="63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3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3"/>
    <w:uiPriority w:val="99"/>
    <w:unhideWhenUsed/>
    <w:rPr>
      <w:vertAlign w:val="superscript"/>
    </w:rPr>
  </w:style>
  <w:style w:type="paragraph" w:styleId="179">
    <w:name w:val="endnote text"/>
    <w:basedOn w:val="63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3"/>
    <w:uiPriority w:val="99"/>
    <w:semiHidden/>
    <w:unhideWhenUsed/>
    <w:rPr>
      <w:vertAlign w:val="superscript"/>
    </w:rPr>
  </w:style>
  <w:style w:type="paragraph" w:styleId="182">
    <w:name w:val="toc 1"/>
    <w:basedOn w:val="631"/>
    <w:next w:val="63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1"/>
    <w:next w:val="63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1"/>
    <w:next w:val="63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1"/>
    <w:next w:val="63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1"/>
    <w:next w:val="63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1"/>
    <w:next w:val="63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1"/>
    <w:next w:val="63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1"/>
    <w:next w:val="63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1"/>
    <w:next w:val="63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1"/>
    <w:next w:val="631"/>
    <w:uiPriority w:val="99"/>
    <w:unhideWhenUsed/>
    <w:pPr>
      <w:spacing w:after="0" w:afterAutospacing="0"/>
    </w:pPr>
  </w:style>
  <w:style w:type="paragraph" w:styleId="631" w:default="1">
    <w:name w:val="Normal"/>
    <w:qFormat/>
    <w:pPr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632">
    <w:name w:val="Heading 3"/>
    <w:basedOn w:val="631"/>
    <w:next w:val="631"/>
    <w:link w:val="63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character" w:styleId="633" w:default="1">
    <w:name w:val="Default Paragraph Font"/>
    <w:uiPriority w:val="1"/>
    <w:unhideWhenUsed/>
  </w:style>
  <w:style w:type="table" w:styleId="6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5" w:default="1">
    <w:name w:val="No List"/>
    <w:uiPriority w:val="99"/>
    <w:semiHidden/>
    <w:unhideWhenUsed/>
  </w:style>
  <w:style w:type="paragraph" w:styleId="636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37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38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character" w:styleId="639" w:customStyle="1">
    <w:name w:val="Заголовок 3 Знак"/>
    <w:basedOn w:val="633"/>
    <w:link w:val="632"/>
    <w:semiHidden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ru-RU"/>
    </w:rPr>
  </w:style>
  <w:style w:type="character" w:styleId="640" w:customStyle="1">
    <w:name w:val="Основной текст_"/>
    <w:basedOn w:val="633"/>
    <w:link w:val="641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styleId="641" w:customStyle="1">
    <w:name w:val="Основной текст1"/>
    <w:basedOn w:val="631"/>
    <w:link w:val="640"/>
    <w:pPr>
      <w:ind w:firstLine="400"/>
      <w:shd w:val="clear" w:color="auto" w:fill="ffffff"/>
      <w:widowControl w:val="off"/>
    </w:pPr>
    <w:rPr>
      <w:rFonts w:eastAsia="Times New Roman"/>
      <w:sz w:val="26"/>
      <w:szCs w:val="26"/>
      <w:lang w:eastAsia="en-US"/>
    </w:rPr>
  </w:style>
  <w:style w:type="paragraph" w:styleId="642">
    <w:name w:val="Balloon Text"/>
    <w:basedOn w:val="631"/>
    <w:link w:val="643"/>
    <w:uiPriority w:val="99"/>
    <w:semiHidden/>
    <w:unhideWhenUsed/>
    <w:rPr>
      <w:rFonts w:ascii="Tahoma" w:hAnsi="Tahoma" w:cs="Tahoma"/>
      <w:sz w:val="16"/>
      <w:szCs w:val="16"/>
    </w:rPr>
  </w:style>
  <w:style w:type="character" w:styleId="643" w:customStyle="1">
    <w:name w:val="Текст выноски Знак"/>
    <w:basedOn w:val="633"/>
    <w:link w:val="642"/>
    <w:uiPriority w:val="99"/>
    <w:semiHidden/>
    <w:rPr>
      <w:rFonts w:ascii="Tahoma" w:hAnsi="Tahoma" w:eastAsia="Calibri" w:cs="Tahoma"/>
      <w:sz w:val="16"/>
      <w:szCs w:val="16"/>
      <w:lang w:eastAsia="ru-RU"/>
    </w:rPr>
  </w:style>
  <w:style w:type="paragraph" w:styleId="644">
    <w:name w:val="List Paragraph"/>
    <w:basedOn w:val="631"/>
    <w:uiPriority w:val="34"/>
    <w:qFormat/>
    <w:pPr>
      <w:contextualSpacing/>
      <w:ind w:left="720"/>
    </w:pPr>
  </w:style>
  <w:style w:type="paragraph" w:styleId="645">
    <w:name w:val="Normal (Web)"/>
    <w:basedOn w:val="631"/>
    <w:link w:val="646"/>
    <w:pPr>
      <w:ind w:firstLine="240"/>
      <w:jc w:val="both"/>
    </w:pPr>
    <w:rPr>
      <w:rFonts w:eastAsia="Times New Roman"/>
      <w:sz w:val="18"/>
      <w:szCs w:val="18"/>
    </w:rPr>
  </w:style>
  <w:style w:type="character" w:styleId="646" w:customStyle="1">
    <w:name w:val="Обычный (веб) Знак"/>
    <w:link w:val="645"/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647" w:customStyle="1">
    <w:name w:val="Style3"/>
    <w:basedOn w:val="631"/>
    <w:pPr>
      <w:jc w:val="center"/>
      <w:widowControl w:val="off"/>
    </w:pPr>
    <w:rPr>
      <w:rFonts w:eastAsia="Times New Roman"/>
    </w:rPr>
  </w:style>
  <w:style w:type="character" w:styleId="648" w:customStyle="1">
    <w:name w:val="Font Style53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Елена Николаевна</dc:creator>
  <cp:lastModifiedBy>ev_kudakova</cp:lastModifiedBy>
  <cp:revision>49</cp:revision>
  <dcterms:created xsi:type="dcterms:W3CDTF">2021-05-26T12:51:00Z</dcterms:created>
  <dcterms:modified xsi:type="dcterms:W3CDTF">2026-10-06T07:22:56Z</dcterms:modified>
</cp:coreProperties>
</file>