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2"/>
      </w:pPr>
      <w:r>
        <w:t xml:space="preserve"> </w: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ind w:right="5954" w:firstLine="0"/>
      </w:pPr>
      <w:r>
        <w:t xml:space="preserve">О совершенствовании оказания медицинской помощи детскому населению Ленинградской области по профилю «Педиатрия»</w:t>
      </w:r>
      <w:r/>
    </w:p>
    <w:p>
      <w:r/>
      <w:r/>
    </w:p>
    <w:p>
      <w:pPr>
        <w:rPr>
          <w:szCs w:val="28"/>
          <w:highlight w:val="white"/>
        </w:rPr>
      </w:pPr>
      <w:r>
        <w:rPr>
          <w:szCs w:val="28"/>
          <w:highlight w:val="white"/>
        </w:rPr>
        <w:t xml:space="preserve">В целях совершенствования оказания первичной медико-санитарной и специализированной медицинской помощи детскому населению Ленинградской области с учетом трехуровневой системы оказания медицинской помощи детям, в соответствии с</w:t>
      </w:r>
      <w:r>
        <w:rPr>
          <w:szCs w:val="28"/>
        </w:rPr>
        <w:t xml:space="preserve"> </w:t>
      </w:r>
      <w:r>
        <w:rPr>
          <w:szCs w:val="28"/>
          <w:shd w:val="clear" w:color="auto" w:fill="ffffff"/>
        </w:rPr>
        <w:t xml:space="preserve">Федеральным законом от 21 ноября 2011 года № 323-ФЗ «Об основах охраны здоровья граждан в Российской Федерации», </w:t>
      </w:r>
      <w:r>
        <w:rPr>
          <w:szCs w:val="28"/>
        </w:rPr>
        <w:t xml:space="preserve">приказами Министерства здравоохранения Российской Федерации от 27 мая 2025 года № 313н «Об утверждении Положения об организации оказания первичной медико-санитарной</w:t>
      </w:r>
      <w:r>
        <w:rPr>
          <w:szCs w:val="28"/>
        </w:rPr>
        <w:t xml:space="preserve"> </w:t>
      </w:r>
      <w:r>
        <w:rPr>
          <w:szCs w:val="28"/>
        </w:rPr>
        <w:t xml:space="preserve">помощи детям», от 11 апреля 2025 года № 192н «Об утверждении порядка прохождения несовершеннолетними диспансерного наблюдения, в том числе в период обучения и воспитания в образовательных организациях», от 11 апреля 2025 г</w:t>
      </w:r>
      <w:r>
        <w:rPr>
          <w:szCs w:val="28"/>
        </w:rPr>
        <w:t xml:space="preserve">ода № 186н «Об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здравоохранения», от 20 февраля 2026 года № 120н «Об утверждении Порядка оказания медицинской</w:t>
      </w:r>
      <w:r>
        <w:rPr>
          <w:szCs w:val="28"/>
        </w:rPr>
        <w:t xml:space="preserve"> </w:t>
      </w:r>
      <w:r>
        <w:rPr>
          <w:szCs w:val="28"/>
        </w:rPr>
        <w:t xml:space="preserve">помощи по профилю «Педиатрия», постановлен</w:t>
      </w:r>
      <w:r>
        <w:rPr>
          <w:szCs w:val="28"/>
        </w:rPr>
        <w:t xml:space="preserve">ием </w:t>
      </w:r>
      <w:r>
        <w:rPr>
          <w:szCs w:val="28"/>
          <w:highlight w:val="white"/>
        </w:rPr>
        <w:t xml:space="preserve">Правительства Ленинградской области от 30 декабря 2025 года № 1143 «О  Территориальной программе государственных гарантий бесплатного оказания гражданам медицинской помощи в Ленинград</w:t>
      </w:r>
      <w:r>
        <w:rPr>
          <w:szCs w:val="28"/>
          <w:highlight w:val="white"/>
        </w:rPr>
        <w:t xml:space="preserve">ской области на 2026 год и на плановый период 2027 и 2028 годов», распоряжением Комитета по  здравоохранению Ленинградской области от 29 декабря 2025 года № 687-о «Об  утверждении распределения медицинских организаций Ленинградской области в соответствии с</w:t>
      </w:r>
      <w:r>
        <w:rPr>
          <w:szCs w:val="28"/>
          <w:highlight w:val="white"/>
        </w:rPr>
        <w:t xml:space="preserve"> трехуровневой системой оказания медицинской помощи на 2026 год», приказываю: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>
      <w:pPr>
        <w:pStyle w:val="975"/>
        <w:numPr>
          <w:ilvl w:val="0"/>
          <w:numId w:val="7"/>
        </w:numPr>
        <w:ind w:left="0"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Утвердить: 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Алгоритм оказания медицинской помощи детскому населению Ленинградской области по профилю «Педиатрия» согласно приложению 1 к настоящему приказу;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Перечень медицинских организаций Ленинградской области, оказывающих медицинскую помощь по профилю «педиатрия» в стационарных </w:t>
      </w:r>
      <w:r>
        <w:rPr>
          <w:rFonts w:ascii="Times New Roman" w:hAnsi="Times New Roman" w:cs="Times New Roman"/>
          <w:color w:val="auto"/>
          <w:highlight w:val="white"/>
        </w:rPr>
        <w:t xml:space="preserve">условиях, в соответствии с трехуровневой системой оказания медицинской помощи согласно приложению 2 к настоящему приказу;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Перечень медицинских организаций Ленинградской области, оказывающих медицинскую помощь по профилю «педиатрия» в амбулаторных условиях, в соответствии с трехуровневой системой оказания медицинской помощи согласно приложению 3 к настоящему приказу;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Маршрутизацию</w:t>
      </w:r>
      <w:r>
        <w:rPr>
          <w:rFonts w:ascii="Times New Roman" w:hAnsi="Times New Roman" w:cs="Times New Roman"/>
          <w:color w:val="auto"/>
        </w:rPr>
        <w:t xml:space="preserve"> детей в медицинские организации 1 и 2 группы в  соответствии с территориальными границами медицинских округов Ленинградской области</w:t>
      </w:r>
      <w:r>
        <w:rPr>
          <w:rFonts w:ascii="Times New Roman" w:hAnsi="Times New Roman" w:cs="Times New Roman"/>
          <w:color w:val="auto"/>
        </w:rPr>
        <w:t xml:space="preserve"> согласно приложению 4 к настоящему приказу;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</w:rPr>
        <w:t xml:space="preserve">Перечень показаний для направления на госпитализацию в </w:t>
      </w:r>
      <w:r>
        <w:rPr>
          <w:rFonts w:ascii="Times New Roman" w:hAnsi="Times New Roman" w:cs="Times New Roman"/>
          <w:color w:val="auto"/>
          <w:highlight w:val="white"/>
        </w:rPr>
        <w:t xml:space="preserve">Ленинградское областное государственное бюджетное учреждение здравоохранения «Детская клиническая больница» (далее - ЛОГБУЗ «ДКБ») </w:t>
      </w:r>
      <w:r>
        <w:rPr>
          <w:rFonts w:ascii="Times New Roman" w:hAnsi="Times New Roman" w:cs="Times New Roman"/>
          <w:color w:val="auto"/>
        </w:rPr>
        <w:t xml:space="preserve">детей с соматическими заболеваниями из медицинских организаций Ленинградской области 1 и 2 группы, оказывающих медицинскую помощь в амбулаторных и стационарных условиях </w:t>
      </w:r>
      <w:r>
        <w:rPr>
          <w:rFonts w:ascii="Times New Roman" w:hAnsi="Times New Roman" w:cs="Times New Roman"/>
          <w:color w:val="auto"/>
          <w:highlight w:val="white"/>
        </w:rPr>
        <w:t xml:space="preserve">согласно приложению 5</w:t>
      </w:r>
      <w:r>
        <w:rPr>
          <w:rFonts w:ascii="Times New Roman" w:hAnsi="Times New Roman" w:cs="Times New Roman"/>
          <w:color w:val="auto"/>
          <w:highlight w:val="white"/>
        </w:rPr>
        <w:t xml:space="preserve"> к настоящему приказу;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7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Главным врачам медицинских организаций Ленинградской области, </w:t>
      </w:r>
      <w:r>
        <w:rPr>
          <w:rFonts w:ascii="Times New Roman" w:hAnsi="Times New Roman" w:cs="Times New Roman"/>
          <w:color w:val="auto"/>
          <w:highlight w:val="white"/>
        </w:rPr>
        <w:t xml:space="preserve">подведомственных </w:t>
      </w:r>
      <w:r>
        <w:rPr>
          <w:highlight w:val="white"/>
        </w:rPr>
        <w:t xml:space="preserve">Комитету по  здравоохранению Ленинградской области,</w:t>
      </w:r>
      <w:r>
        <w:rPr>
          <w:rFonts w:ascii="Times New Roman" w:hAnsi="Times New Roman" w:cs="Times New Roman"/>
          <w:color w:val="auto"/>
        </w:rPr>
        <w:t xml:space="preserve">  оказывающих медицинскую помощь</w:t>
      </w:r>
      <w:r>
        <w:rPr>
          <w:rFonts w:ascii="Times New Roman" w:hAnsi="Times New Roman" w:cs="Times New Roman"/>
        </w:rPr>
        <w:t xml:space="preserve"> детям</w:t>
      </w:r>
      <w:r>
        <w:rPr>
          <w:rFonts w:ascii="Times New Roman" w:hAnsi="Times New Roman" w:cs="Times New Roman"/>
          <w:color w:val="auto"/>
        </w:rPr>
        <w:t xml:space="preserve">, обеспечить: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оказ</w:t>
      </w:r>
      <w:r>
        <w:rPr>
          <w:rFonts w:ascii="Times New Roman" w:hAnsi="Times New Roman" w:cs="Times New Roman"/>
          <w:color w:val="auto"/>
        </w:rPr>
        <w:t xml:space="preserve">ание</w:t>
      </w:r>
      <w:r>
        <w:rPr>
          <w:rFonts w:ascii="Times New Roman" w:hAnsi="Times New Roman" w:cs="Times New Roman"/>
          <w:color w:val="auto"/>
          <w:lang w:eastAsia="ru-RU"/>
        </w:rPr>
        <w:t xml:space="preserve"> экстренной, неотложной, плановой медицинск</w:t>
      </w:r>
      <w:r>
        <w:rPr>
          <w:rFonts w:ascii="Times New Roman" w:hAnsi="Times New Roman" w:cs="Times New Roman"/>
          <w:color w:val="auto"/>
        </w:rPr>
        <w:t xml:space="preserve">ой помощи детскому населению в соответствии с лицензией</w:t>
      </w:r>
      <w:r>
        <w:rPr>
          <w:rFonts w:ascii="Times New Roman" w:hAnsi="Times New Roman" w:cs="Times New Roman"/>
          <w:color w:val="auto"/>
          <w:lang w:eastAsia="ru-RU"/>
        </w:rPr>
        <w:t xml:space="preserve"> медицинской организации на осуществление медицинской деятельности, включающую работу (услугу) по педиатрии</w:t>
      </w:r>
      <w:r>
        <w:rPr>
          <w:rFonts w:ascii="Times New Roman" w:hAnsi="Times New Roman" w:cs="Times New Roman"/>
          <w:color w:val="auto"/>
        </w:rPr>
        <w:t xml:space="preserve"> в виде</w:t>
      </w:r>
      <w:r>
        <w:rPr>
          <w:rFonts w:ascii="Times New Roman" w:hAnsi="Times New Roman" w:cs="Times New Roman"/>
          <w:color w:val="auto"/>
          <w:lang w:eastAsia="ru-RU"/>
        </w:rPr>
        <w:t xml:space="preserve">: </w:t>
      </w:r>
      <w:bookmarkStart w:id="0" w:name="l59"/>
      <w:r/>
      <w:bookmarkEnd w:id="0"/>
      <w:r>
        <w:rPr>
          <w:rFonts w:ascii="Times New Roman" w:hAnsi="Times New Roman" w:cs="Times New Roman"/>
          <w:color w:val="auto"/>
          <w:lang w:eastAsia="ru-RU"/>
        </w:rPr>
        <w:t xml:space="preserve">первичной медико-санитарной помощи; </w:t>
      </w:r>
      <w:bookmarkStart w:id="1" w:name="l60"/>
      <w:r/>
      <w:bookmarkEnd w:id="1"/>
      <w:r>
        <w:rPr>
          <w:rFonts w:ascii="Times New Roman" w:hAnsi="Times New Roman" w:cs="Times New Roman"/>
          <w:color w:val="auto"/>
          <w:lang w:eastAsia="ru-RU"/>
        </w:rPr>
        <w:t xml:space="preserve">скорой, в том числе специализированной, медицинской помощи; </w:t>
      </w:r>
      <w:bookmarkStart w:id="2" w:name="l61"/>
      <w:r/>
      <w:bookmarkEnd w:id="2"/>
      <w:r>
        <w:rPr>
          <w:rFonts w:ascii="Times New Roman" w:hAnsi="Times New Roman" w:cs="Times New Roman"/>
          <w:color w:val="auto"/>
          <w:lang w:eastAsia="ru-RU"/>
        </w:rPr>
        <w:t xml:space="preserve">специализированной, в том числе высокотехнологичной, медицинской помощи; </w:t>
      </w:r>
      <w:bookmarkStart w:id="3" w:name="l62"/>
      <w:r/>
      <w:bookmarkEnd w:id="3"/>
      <w:r>
        <w:rPr>
          <w:rFonts w:ascii="Times New Roman" w:hAnsi="Times New Roman" w:cs="Times New Roman"/>
          <w:color w:val="auto"/>
          <w:lang w:eastAsia="ru-RU"/>
        </w:rPr>
        <w:t xml:space="preserve">паллиативной медицинской помощи, </w:t>
      </w:r>
      <w:r>
        <w:rPr>
          <w:rFonts w:ascii="Times New Roman" w:hAnsi="Times New Roman" w:cs="Times New Roman"/>
          <w:color w:val="auto"/>
        </w:rPr>
        <w:t xml:space="preserve">в амбулаторных, стационарных условиях, а также вне медицинской организации в соответствии с приказами </w:t>
      </w:r>
      <w:hyperlink r:id="rId12" w:tooltip="https://docs.cntd.ru/document/1312976081#64S0IJ" w:anchor="64S0IJ" w:history="1">
        <w:r>
          <w:rPr>
            <w:rStyle w:val="957"/>
            <w:rFonts w:ascii="Times New Roman" w:hAnsi="Times New Roman" w:cs="Times New Roman"/>
            <w:color w:val="auto"/>
            <w:u w:val="none"/>
          </w:rPr>
          <w:t xml:space="preserve">Минздрава Росси</w:t>
        </w:r>
      </w:hyperlink>
      <w:r>
        <w:rPr>
          <w:rStyle w:val="957"/>
          <w:rFonts w:ascii="Times New Roman" w:hAnsi="Times New Roman" w:cs="Times New Roman"/>
          <w:color w:val="auto"/>
          <w:u w:val="none"/>
        </w:rPr>
        <w:t xml:space="preserve">и от 27 мая 2025 года № 313н </w:t>
      </w:r>
      <w:r>
        <w:rPr>
          <w:rFonts w:ascii="Times New Roman" w:hAnsi="Times New Roman" w:cs="Times New Roman"/>
          <w:color w:val="auto"/>
        </w:rPr>
        <w:t xml:space="preserve">«Об утверждении Положения об организации оказания первичной медико-санитарной помощи детям» (далее - </w:t>
      </w:r>
      <w:hyperlink r:id="rId13" w:tooltip="https://docs.cntd.ru/document/1312976081#64S0IJ" w:anchor="64S0IJ" w:history="1">
        <w:r>
          <w:rPr>
            <w:rStyle w:val="957"/>
            <w:rFonts w:ascii="Times New Roman" w:hAnsi="Times New Roman" w:cs="Times New Roman"/>
            <w:color w:val="auto"/>
            <w:u w:val="none"/>
          </w:rPr>
          <w:t xml:space="preserve">приказ Минздрава России от 27.05.2025</w:t>
        </w:r>
      </w:hyperlink>
      <w:r>
        <w:rPr>
          <w:rStyle w:val="957"/>
          <w:rFonts w:ascii="Times New Roman" w:hAnsi="Times New Roman" w:cs="Times New Roman"/>
          <w:color w:val="auto"/>
          <w:u w:val="none"/>
        </w:rPr>
        <w:t xml:space="preserve"> № 313н</w:t>
      </w:r>
      <w:r>
        <w:rPr>
          <w:rFonts w:ascii="Times New Roman" w:hAnsi="Times New Roman" w:cs="Times New Roman"/>
          <w:color w:val="auto"/>
        </w:rPr>
        <w:t xml:space="preserve">)</w:t>
      </w:r>
      <w:r>
        <w:rPr>
          <w:rStyle w:val="957"/>
          <w:rFonts w:ascii="Times New Roman" w:hAnsi="Times New Roman" w:cs="Times New Roman"/>
          <w:color w:val="auto"/>
          <w:u w:val="none"/>
        </w:rPr>
        <w:t xml:space="preserve">, от </w:t>
      </w:r>
      <w:hyperlink r:id="rId14" w:tooltip="https://docs.cntd.ru/document/902342542" w:history="1">
        <w:r>
          <w:rPr>
            <w:rStyle w:val="957"/>
            <w:rFonts w:ascii="Times New Roman" w:hAnsi="Times New Roman" w:cs="Times New Roman"/>
            <w:color w:val="auto"/>
            <w:u w:val="none"/>
          </w:rPr>
          <w:t xml:space="preserve">20.02.2026 № 120н «Об утверждении Порядка оказания медицинской помощи по профилю</w:t>
        </w:r>
      </w:hyperlink>
      <w:r>
        <w:rPr>
          <w:rStyle w:val="957"/>
          <w:rFonts w:ascii="Times New Roman" w:hAnsi="Times New Roman" w:cs="Times New Roman"/>
          <w:color w:val="auto"/>
          <w:u w:val="none"/>
        </w:rPr>
        <w:t xml:space="preserve"> «Педиатрия» </w:t>
      </w:r>
      <w:r>
        <w:rPr>
          <w:rFonts w:ascii="Times New Roman" w:hAnsi="Times New Roman" w:cs="Times New Roman"/>
          <w:color w:val="auto"/>
        </w:rPr>
        <w:t xml:space="preserve">(далее - </w:t>
      </w:r>
      <w:hyperlink r:id="rId15" w:tooltip="https://docs.cntd.ru/document/902342542" w:history="1">
        <w:r>
          <w:rPr>
            <w:rStyle w:val="957"/>
            <w:rFonts w:ascii="Times New Roman" w:hAnsi="Times New Roman" w:cs="Times New Roman"/>
            <w:color w:val="auto"/>
            <w:u w:val="none"/>
          </w:rPr>
          <w:t xml:space="preserve">приказ Минздрава России от 20.02.2026</w:t>
        </w:r>
        <w:r>
          <w:rPr>
            <w:rStyle w:val="957"/>
            <w:rFonts w:ascii="Times New Roman" w:hAnsi="Times New Roman" w:cs="Times New Roman"/>
            <w:color w:val="auto"/>
            <w:u w:val="none"/>
          </w:rPr>
          <w:t xml:space="preserve"> № </w:t>
        </w:r>
        <w:r>
          <w:rPr>
            <w:rStyle w:val="957"/>
            <w:rFonts w:ascii="Times New Roman" w:hAnsi="Times New Roman" w:cs="Times New Roman"/>
            <w:color w:val="auto"/>
            <w:u w:val="none"/>
          </w:rPr>
          <w:t xml:space="preserve">120н</w:t>
        </w:r>
      </w:hyperlink>
      <w:r>
        <w:rPr>
          <w:rFonts w:ascii="Times New Roman" w:hAnsi="Times New Roman" w:cs="Times New Roman"/>
          <w:color w:val="auto"/>
        </w:rPr>
        <w:t xml:space="preserve">) и приложением № 1 к настоящему приказу; 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организацию деятельности подразделений (кабинетов) детской поликлиники (детского поликлинического отделения), в то</w:t>
      </w:r>
      <w:r>
        <w:rPr>
          <w:rFonts w:ascii="Times New Roman" w:hAnsi="Times New Roman" w:cs="Times New Roman"/>
          <w:color w:val="auto"/>
        </w:rPr>
        <w:t xml:space="preserve">м числе кабинета врача-педиатра участкового, отделения (кабинета) неотложной медицинской помощи, организацию деятельности детского приемного отделения, педиатрического отделения, детского консультативно-диагностического центра (при наличии) в соответствии </w:t>
      </w:r>
      <w:hyperlink r:id="rId16" w:tooltip="https://docs.cntd.ru/document/1312976081#64S0IJ" w:anchor="64S0IJ" w:history="1">
        <w:r>
          <w:rPr>
            <w:rStyle w:val="957"/>
            <w:rFonts w:ascii="Times New Roman" w:hAnsi="Times New Roman" w:cs="Times New Roman"/>
            <w:color w:val="auto"/>
            <w:u w:val="none"/>
          </w:rPr>
          <w:t xml:space="preserve">приказам</w:t>
        </w:r>
      </w:hyperlink>
      <w:r>
        <w:rPr>
          <w:rStyle w:val="957"/>
          <w:rFonts w:ascii="Times New Roman" w:hAnsi="Times New Roman" w:cs="Times New Roman"/>
          <w:color w:val="auto"/>
          <w:u w:val="none"/>
        </w:rPr>
        <w:t xml:space="preserve">и Минздрава России от 27.05.2025 № 313н, от </w:t>
      </w:r>
      <w:hyperlink r:id="rId17" w:tooltip="https://docs.cntd.ru/document/902342542" w:history="1">
        <w:r>
          <w:rPr>
            <w:rStyle w:val="957"/>
            <w:rFonts w:ascii="Times New Roman" w:hAnsi="Times New Roman" w:cs="Times New Roman"/>
            <w:color w:val="auto"/>
            <w:u w:val="none"/>
          </w:rPr>
          <w:t xml:space="preserve">20.02.20</w:t>
        </w:r>
      </w:hyperlink>
      <w:r>
        <w:rPr>
          <w:rStyle w:val="957"/>
          <w:rFonts w:ascii="Times New Roman" w:hAnsi="Times New Roman" w:cs="Times New Roman"/>
          <w:color w:val="auto"/>
          <w:u w:val="none"/>
        </w:rPr>
        <w:t xml:space="preserve">26     № 120н</w:t>
      </w:r>
      <w:r>
        <w:rPr>
          <w:rFonts w:ascii="Times New Roman" w:hAnsi="Times New Roman" w:cs="Times New Roman"/>
          <w:color w:val="auto"/>
        </w:rPr>
        <w:t xml:space="preserve">; 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приведение материа</w:t>
      </w:r>
      <w:r>
        <w:rPr>
          <w:rFonts w:ascii="Times New Roman" w:hAnsi="Times New Roman" w:cs="Times New Roman"/>
          <w:color w:val="auto"/>
        </w:rPr>
        <w:t xml:space="preserve">льно-технического оснащения, штатную численность медицинского персонала поликлинических отделений, приемного отделения, педиатрического отделения и других подразделений детского стационара в соответствии со стандартами оснащения, рекомендованными штатными </w:t>
      </w:r>
      <w:r>
        <w:rPr>
          <w:rFonts w:ascii="Times New Roman" w:hAnsi="Times New Roman" w:cs="Times New Roman"/>
          <w:color w:val="auto"/>
        </w:rPr>
        <w:t xml:space="preserve">нормативами, регламентированными </w:t>
      </w:r>
      <w:hyperlink r:id="rId18" w:tooltip="https://docs.cntd.ru/document/1312976081#64S0IJ" w:anchor="64S0IJ" w:history="1">
        <w:r>
          <w:rPr>
            <w:rStyle w:val="957"/>
            <w:rFonts w:ascii="Times New Roman" w:hAnsi="Times New Roman" w:cs="Times New Roman"/>
            <w:color w:val="auto"/>
            <w:u w:val="none"/>
          </w:rPr>
          <w:t xml:space="preserve">приказами Минздрава Росси</w:t>
        </w:r>
      </w:hyperlink>
      <w:r>
        <w:rPr>
          <w:rStyle w:val="957"/>
          <w:rFonts w:ascii="Times New Roman" w:hAnsi="Times New Roman" w:cs="Times New Roman"/>
          <w:color w:val="auto"/>
          <w:u w:val="none"/>
        </w:rPr>
        <w:t xml:space="preserve">и от 27.05.2025 </w:t>
      </w:r>
      <w:r>
        <w:rPr>
          <w:rStyle w:val="957"/>
          <w:rFonts w:ascii="Times New Roman" w:hAnsi="Times New Roman" w:cs="Times New Roman"/>
          <w:color w:val="auto"/>
          <w:u w:val="none"/>
        </w:rPr>
        <w:t xml:space="preserve">  </w:t>
      </w:r>
      <w:r>
        <w:rPr>
          <w:rStyle w:val="957"/>
          <w:rFonts w:ascii="Times New Roman" w:hAnsi="Times New Roman" w:cs="Times New Roman"/>
          <w:color w:val="auto"/>
          <w:u w:val="none"/>
        </w:rPr>
        <w:t xml:space="preserve">№ 313н, </w:t>
      </w:r>
      <w:r>
        <w:rPr>
          <w:rFonts w:ascii="Times New Roman" w:hAnsi="Times New Roman" w:cs="Times New Roman"/>
          <w:color w:val="auto"/>
        </w:rPr>
        <w:t xml:space="preserve">от 20.02.2026 № 120н</w:t>
      </w:r>
      <w:r>
        <w:rPr>
          <w:rFonts w:ascii="Times New Roman" w:hAnsi="Times New Roman" w:cs="Times New Roman"/>
          <w:color w:val="auto"/>
        </w:rPr>
        <w:t xml:space="preserve">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организацию и оказание медицинской помощи (за исключением оказываемой в рамках клинической апробации) на основе клинических рекомендаций и с учетом стандартов медицинской помощи;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внесение информации об оказанной меди</w:t>
      </w:r>
      <w:r>
        <w:rPr>
          <w:rFonts w:ascii="Times New Roman" w:hAnsi="Times New Roman" w:cs="Times New Roman"/>
          <w:color w:val="auto"/>
        </w:rPr>
        <w:t xml:space="preserve">цинской помощи детям в региональную медицинскую информационную систему «Единая медицинская информационная система Ленинградской области (МИС «Ариадна»), с последующей передачей сведений в единую государственную информационную систему в сфере здравоохранения</w:t>
      </w:r>
      <w:bookmarkStart w:id="4" w:name="l117"/>
      <w:r/>
      <w:bookmarkEnd w:id="4"/>
      <w:r>
        <w:rPr>
          <w:rFonts w:ascii="Times New Roman" w:hAnsi="Times New Roman" w:cs="Times New Roman"/>
          <w:color w:val="auto"/>
        </w:rPr>
        <w:t xml:space="preserve">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7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создание и организацию деятельности врачебных комиссий в соответствии с прика</w:t>
      </w:r>
      <w:r>
        <w:rPr>
          <w:rFonts w:ascii="Times New Roman" w:hAnsi="Times New Roman" w:cs="Times New Roman"/>
          <w:color w:val="auto"/>
        </w:rPr>
        <w:t xml:space="preserve">зом Минздрава России от 10 апреля </w:t>
      </w:r>
      <w:r>
        <w:rPr>
          <w:rFonts w:ascii="Times New Roman" w:hAnsi="Times New Roman" w:cs="Times New Roman"/>
          <w:color w:val="auto"/>
        </w:rPr>
        <w:t xml:space="preserve">2025</w:t>
      </w:r>
      <w:r>
        <w:rPr>
          <w:rFonts w:ascii="Times New Roman" w:hAnsi="Times New Roman" w:cs="Times New Roman"/>
          <w:color w:val="auto"/>
        </w:rPr>
        <w:t xml:space="preserve"> года</w:t>
      </w:r>
      <w:r>
        <w:rPr>
          <w:rFonts w:ascii="Times New Roman" w:hAnsi="Times New Roman" w:cs="Times New Roman"/>
          <w:color w:val="auto"/>
        </w:rPr>
        <w:t xml:space="preserve"> № 180н «Об утверждении порядка создания и деятельности врачебной комиссии медицинской организации», включив в</w:t>
      </w:r>
      <w:r>
        <w:rPr>
          <w:rFonts w:ascii="Times New Roman" w:hAnsi="Times New Roman" w:cs="Times New Roman"/>
          <w:color w:val="auto"/>
        </w:rPr>
        <w:t xml:space="preserve"> функции врачебных комиссий рассмотрение спорных и конфликтных случаев маршрутизации пациентов между уровнями оказания медицинской помощи, принятие решений о направлении пациента в медицинскую организацию более высокого уровня при наличии разногласий между</w:t>
      </w:r>
      <w:r>
        <w:rPr>
          <w:rFonts w:ascii="Times New Roman" w:hAnsi="Times New Roman" w:cs="Times New Roman"/>
          <w:color w:val="auto"/>
        </w:rPr>
        <w:t xml:space="preserve"> врачами направляющей и принимающей медицинской организации, анализ каждого случая нарушения маршрутизации, повлекшего ухудшение состояния пациента, </w:t>
      </w:r>
      <w:r>
        <w:rPr>
          <w:rFonts w:ascii="Times New Roman" w:hAnsi="Times New Roman" w:cs="Times New Roman"/>
          <w:color w:val="auto"/>
        </w:rPr>
        <w:t xml:space="preserve">инвалидизацию</w:t>
      </w:r>
      <w:r>
        <w:rPr>
          <w:rFonts w:ascii="Times New Roman" w:hAnsi="Times New Roman" w:cs="Times New Roman"/>
          <w:color w:val="auto"/>
        </w:rPr>
        <w:t xml:space="preserve"> или летальный исход, с оформлением протокола и разработкой корректирующих мероприятий.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ind w:firstLine="425"/>
      </w:pPr>
      <w:r>
        <w:rPr>
          <w:szCs w:val="28"/>
        </w:rPr>
        <w:t xml:space="preserve">    3. Настоящий приказ </w:t>
      </w:r>
      <w:r>
        <w:rPr>
          <w:rFonts w:eastAsia="Times New Roman"/>
          <w:color w:val="000000"/>
          <w:szCs w:val="28"/>
        </w:rPr>
        <w:t xml:space="preserve">вступает в силу со дня его официального опубликования.</w:t>
      </w:r>
      <w:r/>
    </w:p>
    <w:p>
      <w:pPr>
        <w:spacing w:line="288" w:lineRule="atLeast"/>
        <w:rPr>
          <w:rFonts w:eastAsia="Times New Roman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Times New Roman"/>
          <w:color w:val="000000"/>
          <w:szCs w:val="28"/>
        </w:rPr>
        <w:t xml:space="preserve">4. </w:t>
      </w:r>
      <w:r>
        <w:rPr>
          <w:szCs w:val="28"/>
        </w:rPr>
        <w:t xml:space="preserve">Контроль за</w:t>
      </w:r>
      <w:r>
        <w:rPr>
          <w:szCs w:val="28"/>
        </w:rPr>
        <w:t xml:space="preserve"> исполнением настоящего приказа возложить на заместителя председателя Комитета </w:t>
      </w:r>
      <w:r>
        <w:rPr>
          <w:szCs w:val="28"/>
        </w:rPr>
        <w:t xml:space="preserve">Вальденберга</w:t>
      </w:r>
      <w:r>
        <w:rPr>
          <w:szCs w:val="28"/>
        </w:rPr>
        <w:t xml:space="preserve"> А.В.</w:t>
      </w:r>
      <w:r>
        <w:rPr>
          <w:rFonts w:eastAsia="Times New Roman"/>
          <w:szCs w:val="28"/>
        </w:rPr>
      </w:r>
      <w:r>
        <w:rPr>
          <w:rFonts w:eastAsia="Times New Roman"/>
          <w:szCs w:val="28"/>
        </w:rPr>
      </w:r>
    </w:p>
    <w:p>
      <w:pPr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ind w:firstLine="0"/>
        <w:rPr>
          <w:szCs w:val="28"/>
        </w:rPr>
      </w:pPr>
      <w:r>
        <w:rPr>
          <w:szCs w:val="28"/>
        </w:rPr>
        <w:t xml:space="preserve">Председатель к</w:t>
      </w:r>
      <w:r>
        <w:rPr>
          <w:szCs w:val="28"/>
        </w:rPr>
        <w:t xml:space="preserve">омитета</w:t>
      </w:r>
      <w:r>
        <w:rPr>
          <w:szCs w:val="28"/>
        </w:rPr>
        <w:tab/>
      </w:r>
      <w:r>
        <w:rPr>
          <w:szCs w:val="28"/>
        </w:rPr>
      </w:r>
      <w:r>
        <w:rPr>
          <w:szCs w:val="28"/>
        </w:rPr>
      </w:r>
    </w:p>
    <w:p>
      <w:pPr>
        <w:ind w:firstLine="0"/>
        <w:rPr>
          <w:szCs w:val="28"/>
        </w:rPr>
      </w:pPr>
      <w:r>
        <w:rPr>
          <w:szCs w:val="28"/>
        </w:rPr>
        <w:t xml:space="preserve">по здравоохранению </w:t>
      </w:r>
      <w:r>
        <w:rPr>
          <w:szCs w:val="28"/>
        </w:rPr>
      </w:r>
      <w:r>
        <w:rPr>
          <w:szCs w:val="28"/>
        </w:rPr>
      </w:r>
    </w:p>
    <w:p>
      <w:pPr>
        <w:ind w:firstLine="0"/>
        <w:rPr>
          <w:szCs w:val="28"/>
        </w:rPr>
      </w:pPr>
      <w:r>
        <w:rPr>
          <w:szCs w:val="28"/>
        </w:rPr>
        <w:t xml:space="preserve">Ленинградской области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      </w:t>
      </w:r>
      <w:r>
        <w:rPr>
          <w:szCs w:val="28"/>
        </w:rPr>
        <w:t xml:space="preserve">           </w:t>
      </w:r>
      <w:r>
        <w:rPr>
          <w:szCs w:val="28"/>
        </w:rPr>
        <w:t xml:space="preserve">А.В. Жарков</w:t>
      </w:r>
      <w:r>
        <w:rPr>
          <w:szCs w:val="28"/>
        </w:rPr>
      </w:r>
      <w:r>
        <w:rPr>
          <w:szCs w:val="28"/>
        </w:rPr>
      </w:r>
    </w:p>
    <w:p>
      <w:pPr>
        <w:pStyle w:val="769"/>
        <w:ind w:firstLine="0"/>
        <w:spacing w:beforeAutospacing="0" w:afterAutospacing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Cs w:val="28"/>
        </w:rPr>
      </w:pPr>
      <w:r>
        <w:rPr>
          <w:szCs w:val="28"/>
        </w:rPr>
        <w:br w:type="page" w:clear="all"/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Утвержден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приказом Комитета по здравоохранению 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Ленинградской области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от_________________2026 г. №______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(Приложение 1</w:t>
      </w:r>
      <w:r>
        <w:rPr>
          <w:szCs w:val="28"/>
        </w:rPr>
        <w:t xml:space="preserve">)</w:t>
      </w:r>
      <w:r>
        <w:rPr>
          <w:szCs w:val="28"/>
        </w:rPr>
      </w:r>
      <w:r>
        <w:rPr>
          <w:szCs w:val="28"/>
        </w:rPr>
      </w:r>
    </w:p>
    <w:p>
      <w:pPr>
        <w:ind w:firstLine="0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Алгоритм оказания медицинской помощи детскому населению Ленинградской области по профилю «Педиатрия»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Настоящий Алгоритм оказания медицинской помощи детскому населению Ленинградской области по профилю «Педиатрия» </w:t>
      </w:r>
      <w:r>
        <w:rPr>
          <w:rFonts w:cs="Times New Roman"/>
          <w:color w:val="auto"/>
          <w:highlight w:val="white"/>
        </w:rPr>
        <w:t xml:space="preserve">регулирует вопросы организации оказания медицинской помощи детскому населению Ленинградской области по профилю «Педиатрия» в  медицинских организациях, подведомственных </w:t>
      </w:r>
      <w:r>
        <w:rPr>
          <w:highlight w:val="white"/>
        </w:rPr>
        <w:t xml:space="preserve">Комитету по  здравоохранению Ленинградской области,</w:t>
      </w:r>
      <w:r>
        <w:rPr>
          <w:rFonts w:cs="Times New Roman"/>
          <w:color w:val="auto"/>
          <w:highlight w:val="white"/>
        </w:rPr>
        <w:t xml:space="preserve"> имеющими лицензию на осуществление медицинской деятельности, включающей р</w:t>
      </w:r>
      <w:r>
        <w:rPr>
          <w:rFonts w:cs="Times New Roman"/>
          <w:color w:val="auto"/>
        </w:rPr>
        <w:t xml:space="preserve">аботы (услуги) по профилю «Педиатрия», полученную в порядке, установленном законодательством Российской Федерации.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Общие данные</w:t>
      </w:r>
      <w:r>
        <w:rPr>
          <w:rFonts w:ascii="Times New Roman" w:hAnsi="Times New Roman" w:cs="Times New Roman"/>
          <w:b/>
          <w:bCs/>
          <w:color w:val="auto"/>
        </w:rPr>
      </w:r>
      <w:r>
        <w:rPr>
          <w:rFonts w:ascii="Times New Roman" w:hAnsi="Times New Roman" w:cs="Times New Roman"/>
          <w:b/>
          <w:bCs/>
          <w:color w:val="auto"/>
        </w:rPr>
      </w:r>
    </w:p>
    <w:p>
      <w:pPr>
        <w:pStyle w:val="975"/>
        <w:numPr>
          <w:ilvl w:val="0"/>
          <w:numId w:val="0"/>
        </w:numPr>
        <w:ind w:firstLine="709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</w:r>
      <w:r>
        <w:rPr>
          <w:rFonts w:ascii="Times New Roman" w:hAnsi="Times New Roman" w:cs="Times New Roman"/>
          <w:b/>
          <w:bCs/>
          <w:color w:val="auto"/>
        </w:rPr>
      </w:r>
      <w:r>
        <w:rPr>
          <w:rFonts w:ascii="Times New Roman" w:hAnsi="Times New Roman" w:cs="Times New Roman"/>
          <w:b/>
          <w:bCs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Медицинская помощь оказывается медицинскими и иными организациями, имеющими лицензию на осуществление медицинской деятельности, включающую работу (услугу) по педиатрии (далее - медицинская организация).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Медицинская помощь оказывается в соответствии с Порядком оказания медицинской помощи по профилю «педиатрия», утвержденным при</w:t>
      </w:r>
      <w:r>
        <w:rPr>
          <w:rFonts w:cs="Times New Roman"/>
          <w:color w:val="auto"/>
        </w:rPr>
        <w:t xml:space="preserve">казом Минздрава России от 20 февраля </w:t>
      </w:r>
      <w:r>
        <w:rPr>
          <w:rFonts w:cs="Times New Roman"/>
          <w:color w:val="auto"/>
        </w:rPr>
        <w:t xml:space="preserve">2026</w:t>
      </w:r>
      <w:r>
        <w:rPr>
          <w:rFonts w:cs="Times New Roman"/>
          <w:color w:val="auto"/>
        </w:rPr>
        <w:t xml:space="preserve"> года</w:t>
      </w:r>
      <w:r>
        <w:rPr>
          <w:rFonts w:cs="Times New Roman"/>
          <w:color w:val="auto"/>
        </w:rPr>
        <w:t xml:space="preserve"> № 120н,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Медицинская помощь оказывается в виде: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/>
      <w:hyperlink r:id="rId19" w:tooltip="https://login.consultant.ru/link/?req=doc&amp;base=LAW&amp;n=523556&amp;dst=100365" w:history="1">
        <w:r>
          <w:rPr>
            <w:rFonts w:ascii="Times New Roman" w:hAnsi="Times New Roman" w:cs="Times New Roman"/>
            <w:color w:val="auto"/>
          </w:rPr>
          <w:t xml:space="preserve">первичной</w:t>
        </w:r>
      </w:hyperlink>
      <w:r>
        <w:rPr>
          <w:rFonts w:ascii="Times New Roman" w:hAnsi="Times New Roman" w:cs="Times New Roman"/>
          <w:color w:val="auto"/>
        </w:rPr>
        <w:t xml:space="preserve"> медико-санитарной помощи;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/>
      <w:bookmarkStart w:id="5" w:name="_Hlk230703445"/>
      <w:r>
        <w:rPr>
          <w:rFonts w:ascii="Times New Roman" w:hAnsi="Times New Roman" w:cs="Times New Roman"/>
          <w:color w:val="auto"/>
        </w:rPr>
        <w:fldChar w:fldCharType="begin"/>
      </w:r>
      <w:r>
        <w:rPr>
          <w:rFonts w:ascii="Times New Roman" w:hAnsi="Times New Roman" w:cs="Times New Roman"/>
          <w:color w:val="auto"/>
        </w:rPr>
        <w:instrText xml:space="preserve"> HYPERLINK "https://login.consultant.ru/link/?req=doc&amp;base=LAW&amp;n=523556&amp;dst=100382" \h </w:instrText>
      </w:r>
      <w:r>
        <w:rPr>
          <w:rFonts w:ascii="Times New Roman" w:hAnsi="Times New Roman" w:cs="Times New Roman"/>
          <w:color w:val="auto"/>
        </w:rPr>
        <w:fldChar w:fldCharType="separate"/>
      </w:r>
      <w:r>
        <w:rPr>
          <w:rFonts w:ascii="Times New Roman" w:hAnsi="Times New Roman" w:cs="Times New Roman"/>
          <w:color w:val="auto"/>
        </w:rPr>
        <w:t xml:space="preserve">скорой</w:t>
      </w:r>
      <w:r>
        <w:rPr>
          <w:rFonts w:ascii="Times New Roman" w:hAnsi="Times New Roman" w:cs="Times New Roman"/>
          <w:color w:val="auto"/>
        </w:rPr>
        <w:fldChar w:fldCharType="end"/>
      </w:r>
      <w:r>
        <w:rPr>
          <w:rFonts w:ascii="Times New Roman" w:hAnsi="Times New Roman" w:cs="Times New Roman"/>
          <w:color w:val="auto"/>
        </w:rPr>
        <w:t xml:space="preserve">, в том числе специализированной, медицинской помощи;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/>
      <w:hyperlink r:id="rId20" w:tooltip="https://login.consultant.ru/link/?req=doc&amp;base=LAW&amp;n=523556&amp;dst=100373" w:history="1">
        <w:r>
          <w:rPr>
            <w:rFonts w:ascii="Times New Roman" w:hAnsi="Times New Roman" w:cs="Times New Roman"/>
            <w:color w:val="auto"/>
          </w:rPr>
          <w:t xml:space="preserve">специализированной</w:t>
        </w:r>
      </w:hyperlink>
      <w:r>
        <w:rPr>
          <w:rFonts w:ascii="Times New Roman" w:hAnsi="Times New Roman" w:cs="Times New Roman"/>
          <w:color w:val="auto"/>
        </w:rPr>
        <w:t xml:space="preserve">, в том числе высокотехнологичной, медицинской помощи;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/>
      <w:hyperlink r:id="rId21" w:tooltip="https://login.consultant.ru/link/?req=doc&amp;base=LAW&amp;n=523556&amp;dst=411" w:history="1">
        <w:r>
          <w:rPr>
            <w:rFonts w:ascii="Times New Roman" w:hAnsi="Times New Roman" w:cs="Times New Roman"/>
            <w:color w:val="auto"/>
          </w:rPr>
          <w:t xml:space="preserve">паллиативной</w:t>
        </w:r>
      </w:hyperlink>
      <w:r>
        <w:rPr>
          <w:rFonts w:ascii="Times New Roman" w:hAnsi="Times New Roman" w:cs="Times New Roman"/>
          <w:color w:val="auto"/>
        </w:rPr>
        <w:t xml:space="preserve"> медицинской помощи.</w:t>
      </w:r>
      <w:bookmarkEnd w:id="5"/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Медицинская помощь оказывается в следующих условиях: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вне медицинской организации (по месту вызова бригады скорой, в том числе скорой специализированной, медицинской помощи, а также в  транспортном средстве при медицинской эвакуации);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амбулаторно (в условиях, не предусматривающих круглосуточного медицинского наблюдения и лечения), в том числе на дому при вызове медицинского работника;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стационарно (в условиях, обеспечивающих круглосуточное медицинское наблюдение и лечение).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Медицинская помощь оказывается в следующих формах: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экстренная (оказываемая при внезапных острых заболеваниях, состояниях, обострении хронических заболеваний, представляющих угрозу жизни пациента);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неотложная (оказываемая при внезапных острых заболеваниях, состояниях, обострении хронических заболеваний без явных признаков угрозы жизни пациента);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плановая (оказываемая при проведении профилактических мероприятий, при заб</w:t>
      </w:r>
      <w:r>
        <w:rPr>
          <w:rFonts w:ascii="Times New Roman" w:hAnsi="Times New Roman" w:cs="Times New Roman"/>
          <w:color w:val="auto"/>
        </w:rPr>
        <w:t xml:space="preserve">олеваниях и состояниях, не сопровождающихся угрозой жизни пациента, не требующих экстренной и неотложной медицинской помощи, и  отсрочка оказания которой на определенное время не повлечет за собой ухудшение состояния пациента, угрозу его жизни и здоровью).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Медицинская помощь организуется и оказывается на основе клинических рекомендаций и с учетом стандартов медицинской помощи.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Первичная медико-санитарная помощь оказывается в соответствии с  </w:t>
      </w:r>
      <w:hyperlink r:id="rId22" w:tooltip="https://login.consultant.ru/link/?req=doc&amp;base=LAW&amp;n=506958&amp;dst=100011" w:history="1">
        <w:r>
          <w:rPr>
            <w:rFonts w:cs="Times New Roman"/>
            <w:color w:val="auto"/>
          </w:rPr>
          <w:t xml:space="preserve">Положением</w:t>
        </w:r>
      </w:hyperlink>
      <w:r>
        <w:rPr>
          <w:rFonts w:cs="Times New Roman"/>
          <w:color w:val="auto"/>
        </w:rPr>
        <w:t xml:space="preserve"> об организации оказания первичной медико-санитарной помощи детям, утвержденным приказом Министерства здравоохранения Российской Федерации от 27 мая 2025 года № 313н.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Скорая, в том числе скорая специализированная, медицинская помощь оказывается в соответствии с </w:t>
      </w:r>
      <w:hyperlink r:id="rId23" w:tooltip="https://login.consultant.ru/link/?req=doc&amp;base=LAW&amp;n=358721&amp;dst=100015" w:history="1">
        <w:r>
          <w:rPr>
            <w:rFonts w:cs="Times New Roman"/>
            <w:color w:val="auto"/>
          </w:rPr>
          <w:t xml:space="preserve">Порядком</w:t>
        </w:r>
      </w:hyperlink>
      <w:r>
        <w:rPr>
          <w:rFonts w:cs="Times New Roman"/>
          <w:color w:val="auto"/>
        </w:rPr>
        <w:t xml:space="preserve"> оказания скорой, в том числе скорой специализированной, медицинской помощи, утвержденным приказом Министерства здравоохранения Российской Федерации от 20 июня 2013 года №  388н.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Специализированная, в том числе высокотехнологичная, медицинская помощь оказывается врачами-педиатрами и врачами-специалистами в соответствии с </w:t>
      </w:r>
      <w:hyperlink r:id="rId24" w:tooltip="https://login.consultant.ru/link/?req=doc&amp;base=LAW&amp;n=506074&amp;dst=100013" w:history="1">
        <w:r>
          <w:rPr>
            <w:rFonts w:cs="Times New Roman"/>
            <w:color w:val="auto"/>
          </w:rPr>
          <w:t xml:space="preserve">Положением</w:t>
        </w:r>
      </w:hyperlink>
      <w:r>
        <w:rPr>
          <w:rFonts w:cs="Times New Roman"/>
          <w:color w:val="auto"/>
        </w:rPr>
        <w:t xml:space="preserve"> об организации специализированной, в том числе высокотехнологичной, медицинской помощи, утвержденным приказом Министерства здравоохранения Российской Федерации от 11 апреля 2025 </w:t>
      </w:r>
      <w:r>
        <w:rPr>
          <w:rFonts w:cs="Times New Roman"/>
          <w:color w:val="auto"/>
          <w:highlight w:val="white"/>
        </w:rPr>
        <w:t xml:space="preserve">года </w:t>
      </w:r>
      <w:r>
        <w:rPr>
          <w:rFonts w:cs="Times New Roman"/>
          <w:color w:val="auto"/>
          <w:highlight w:val="yellow"/>
        </w:rPr>
        <w:t xml:space="preserve">       </w:t>
      </w:r>
      <w:r>
        <w:rPr>
          <w:rFonts w:cs="Times New Roman"/>
          <w:color w:val="auto"/>
          <w:highlight w:val="white"/>
        </w:rPr>
        <w:t xml:space="preserve">№</w:t>
      </w:r>
      <w:r>
        <w:rPr>
          <w:rFonts w:cs="Times New Roman"/>
          <w:color w:val="auto"/>
        </w:rPr>
        <w:t xml:space="preserve"> 185н, и </w:t>
      </w:r>
      <w:hyperlink r:id="rId25" w:tooltip="https://login.consultant.ru/link/?req=doc&amp;base=LAW&amp;n=506075&amp;dst=100011" w:history="1">
        <w:r>
          <w:rPr>
            <w:rFonts w:cs="Times New Roman"/>
            <w:color w:val="auto"/>
          </w:rPr>
          <w:t xml:space="preserve">порядком</w:t>
        </w:r>
      </w:hyperlink>
      <w:r>
        <w:rPr>
          <w:rFonts w:cs="Times New Roman"/>
          <w:color w:val="auto"/>
        </w:rPr>
        <w:t xml:space="preserve"> организации оказания высокотехнологичной медицинской помощи с применением единой государственной информационной системы в сфере здравоохранения, утвержденным приказом Министерства здравоохранения Российской Федерации от 11</w:t>
      </w:r>
      <w:r>
        <w:rPr>
          <w:rFonts w:cs="Times New Roman"/>
          <w:color w:val="auto"/>
        </w:rPr>
        <w:t xml:space="preserve"> апреля 2025 </w:t>
      </w:r>
      <w:r>
        <w:rPr>
          <w:rFonts w:cs="Times New Roman"/>
          <w:color w:val="auto"/>
          <w:highlight w:val="white"/>
        </w:rPr>
        <w:t xml:space="preserve">года № </w:t>
      </w:r>
      <w:r>
        <w:rPr>
          <w:rFonts w:cs="Times New Roman"/>
          <w:color w:val="auto"/>
        </w:rPr>
        <w:t xml:space="preserve">186н.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необходимости у</w:t>
      </w:r>
      <w:r>
        <w:rPr>
          <w:rFonts w:cs="Times New Roman"/>
          <w:color w:val="auto"/>
        </w:rPr>
        <w:t xml:space="preserve">становления заключительного (уточненного) диагноза, в связи с тяжестью течения заболевания, отсутствием клинического эффекта от ранее проводимой терапии и (или) повторных курсов лечения при вероятной эффективности других методов лечения, необходимости оказ</w:t>
      </w:r>
      <w:r>
        <w:rPr>
          <w:rFonts w:cs="Times New Roman"/>
          <w:color w:val="auto"/>
        </w:rPr>
        <w:t xml:space="preserve">ания специализированной медицинской помощи или в связи с развитием осложнения заболевания, сопутствующими заболеваниями, а также в иных необходимых случаях организуются консультации (консилиум врачей) с применением телемедицинских технологий в соответствии</w:t>
      </w:r>
      <w:r>
        <w:rPr>
          <w:rFonts w:cs="Times New Roman"/>
          <w:color w:val="auto"/>
        </w:rPr>
        <w:t xml:space="preserve"> с </w:t>
      </w:r>
      <w:hyperlink r:id="rId26" w:tooltip="https://login.consultant.ru/link/?req=doc&amp;base=LAW&amp;n=505342&amp;dst=100011" w:history="1">
        <w:r>
          <w:rPr>
            <w:rFonts w:cs="Times New Roman"/>
            <w:color w:val="auto"/>
          </w:rPr>
          <w:t xml:space="preserve">Порядком</w:t>
        </w:r>
      </w:hyperlink>
      <w:r>
        <w:rPr>
          <w:rFonts w:cs="Times New Roman"/>
          <w:color w:val="auto"/>
        </w:rPr>
        <w:t xml:space="preserve"> организации и 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</w:t>
      </w:r>
      <w:r>
        <w:rPr>
          <w:rFonts w:cs="Times New Roman"/>
          <w:color w:val="auto"/>
          <w:highlight w:val="white"/>
        </w:rPr>
        <w:t xml:space="preserve">года № </w:t>
      </w:r>
      <w:r>
        <w:rPr>
          <w:rFonts w:cs="Times New Roman"/>
          <w:color w:val="auto"/>
        </w:rPr>
        <w:t xml:space="preserve">193н, с врачами-специалистами медицинских организаций </w:t>
      </w:r>
      <w:r>
        <w:rPr>
          <w:rFonts w:cs="Times New Roman"/>
          <w:color w:val="auto"/>
        </w:rPr>
        <w:t xml:space="preserve">подведомственных федеральным органам исполнительной власти (далее - федеральные медицинские организации).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наличии медицинских показаний для оказания медицинской помощи в стационарных условиях в федеральных медицинских организациях ребенок направляется в федеральные медицинские организации в соответствии с требованиями, установленными </w:t>
      </w:r>
      <w:hyperlink r:id="rId27" w:tooltip="https://login.consultant.ru/link/?req=doc&amp;base=LAW&amp;n=372736&amp;dst=100010" w:history="1">
        <w:r>
          <w:rPr>
            <w:rFonts w:cs="Times New Roman"/>
            <w:color w:val="auto"/>
          </w:rPr>
          <w:t xml:space="preserve">Порядком</w:t>
        </w:r>
      </w:hyperlink>
      <w:r>
        <w:rPr>
          <w:rFonts w:cs="Times New Roman"/>
          <w:color w:val="auto"/>
        </w:rPr>
        <w:t xml:space="preserve"> направления застрахованных лиц в медицинские организации, функции и полномочия </w:t>
      </w:r>
      <w:r>
        <w:rPr>
          <w:rFonts w:cs="Times New Roman"/>
          <w:color w:val="auto"/>
        </w:rPr>
        <w:t xml:space="preserve">учредителей</w:t>
      </w:r>
      <w:r>
        <w:rPr>
          <w:rFonts w:cs="Times New Roman"/>
          <w:color w:val="auto"/>
        </w:rPr>
        <w:t xml:space="preserve"> в отношении которых осуществляют Правительство Российской Федерации или федеральные органы исп</w:t>
      </w:r>
      <w:r>
        <w:rPr>
          <w:rFonts w:cs="Times New Roman"/>
          <w:color w:val="auto"/>
        </w:rPr>
        <w:t xml:space="preserve">олнительной власти, для оказания медицинской помощи в соответствии с едиными требованиями базовой программы обязательного медицинского страхования, утвержденным приказом Министерства здравоохранения Российской Федерации от 23 декабря 2020 года №  1363н, и </w:t>
      </w:r>
      <w:hyperlink r:id="rId28" w:tooltip="https://login.consultant.ru/link/?req=doc&amp;base=LAW&amp;n=425761&amp;dst=100012" w:history="1">
        <w:r>
          <w:rPr>
            <w:rFonts w:cs="Times New Roman"/>
            <w:color w:val="auto"/>
          </w:rPr>
          <w:t xml:space="preserve">Порядком</w:t>
        </w:r>
      </w:hyperlink>
      <w:r>
        <w:rPr>
          <w:rFonts w:cs="Times New Roman"/>
          <w:color w:val="auto"/>
        </w:rPr>
        <w:t xml:space="preserve"> направления гр</w:t>
      </w:r>
      <w:r>
        <w:rPr>
          <w:rFonts w:cs="Times New Roman"/>
          <w:color w:val="auto"/>
        </w:rPr>
        <w:t xml:space="preserve">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</w:t>
      </w:r>
      <w:r>
        <w:rPr>
          <w:rFonts w:cs="Times New Roman"/>
          <w:color w:val="auto"/>
          <w:highlight w:val="white"/>
        </w:rPr>
        <w:t xml:space="preserve">года №</w:t>
      </w:r>
      <w:r>
        <w:rPr>
          <w:rFonts w:cs="Times New Roman"/>
          <w:color w:val="auto"/>
        </w:rPr>
        <w:t xml:space="preserve"> 617.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После оказания специализированной, в том числе высокотехнологичной, медицинской помощи по профилю «педиатрия» в  стационарных условиях дети </w:t>
      </w:r>
      <w:r>
        <w:rPr>
          <w:rFonts w:cs="Times New Roman"/>
          <w:color w:val="auto"/>
        </w:rPr>
        <w:t xml:space="preserve">направляются к врачу-педиатру, врачу-педиатру участковому или врачу общей практики (семейному врачу) медицинской организации, оказывающей первичную медико-санитарную помощь, с целью дальнейшего диспансерного наблюдения или лечения в  амбулаторных условиях.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Необходимость диспансерного наблюдения детей определяет врач-педиатр, врач-педиатр участковый, врач общей практики (семейный врач) медицинской организации, оказывающей первичную медико-санитарную помощь.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наличии медицинских показаний, независимо от этапа лечения, реабилитационные мероприятия проводятся в соответствии с </w:t>
      </w:r>
      <w:hyperlink r:id="rId29" w:tooltip="https://login.consultant.ru/link/?req=doc&amp;base=LAW&amp;n=341304" w:history="1">
        <w:r>
          <w:rPr>
            <w:rFonts w:cs="Times New Roman"/>
            <w:color w:val="auto"/>
          </w:rPr>
          <w:t xml:space="preserve">приказом</w:t>
        </w:r>
      </w:hyperlink>
      <w:r>
        <w:rPr>
          <w:rFonts w:cs="Times New Roman"/>
          <w:color w:val="auto"/>
        </w:rPr>
        <w:t xml:space="preserve"> Министерства здравоохранения Российской Федерации от 23 октября 2019 года № 878н «Об утверждении Порядка организации медицинской реабилитации детей».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 случаях, когда проведение медицинских манипуляций, связанных с оказанием медицинской помощи, может повлечь за собой возникновение боли, несов</w:t>
      </w:r>
      <w:r>
        <w:rPr>
          <w:rFonts w:cs="Times New Roman"/>
          <w:color w:val="auto"/>
        </w:rPr>
        <w:t xml:space="preserve">ершеннолетний имеет право на облегчение боли, связанной с  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Медицинскими организациями, оказывающими медицинскую помощь, обеспечивается информационное взаимодействие медицинских информационных систем медицинских организаций с государственными информац</w:t>
      </w:r>
      <w:r>
        <w:rPr>
          <w:rFonts w:cs="Times New Roman"/>
          <w:color w:val="auto"/>
        </w:rPr>
        <w:t xml:space="preserve">ионными системами в сфере здравоохранения субъектов Российской Федерации, с государственными информационными системами территориальных фондов обязательного медицинского страхования и с единой государственной информационной системой в сфере здравоохранения.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Медицинские организации вносят информацию об оказанной медицинской помощи в медицинскую информационную систему медицинской организации либо непосредственно в государственную информационную </w:t>
      </w:r>
      <w:r>
        <w:rPr>
          <w:rFonts w:cs="Times New Roman"/>
          <w:color w:val="auto"/>
        </w:rPr>
        <w:t xml:space="preserve">систему в сфере здравоохранения субъекта Российской Федерации, если она выполняет функции медицинской информационной системы медицинской организации, для последующей передачи сведений в единую государственную информационную систему в сфере здравоохранения.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Медицинские организации, оказывающие медицинскую помощь, организуют и осуществляют свою деятельность в соответствии с  </w:t>
      </w:r>
      <w:hyperlink w:tooltip="#P106" w:anchor="P106" w:history="1">
        <w:r>
          <w:rPr>
            <w:rFonts w:cs="Times New Roman"/>
            <w:color w:val="auto"/>
          </w:rPr>
          <w:t xml:space="preserve">приложениями №№ 1</w:t>
        </w:r>
      </w:hyperlink>
      <w:r>
        <w:rPr>
          <w:rFonts w:cs="Times New Roman"/>
          <w:color w:val="auto"/>
        </w:rPr>
        <w:t xml:space="preserve"> - </w:t>
      </w:r>
      <w:hyperlink w:tooltip="#P4099" w:anchor="P4099" w:history="1">
        <w:r>
          <w:rPr>
            <w:rFonts w:cs="Times New Roman"/>
            <w:color w:val="auto"/>
          </w:rPr>
          <w:t xml:space="preserve">15</w:t>
        </w:r>
      </w:hyperlink>
      <w:r>
        <w:rPr>
          <w:rFonts w:cs="Times New Roman"/>
          <w:color w:val="auto"/>
        </w:rPr>
        <w:t xml:space="preserve"> к Порядку оказания медицинской помощи по профилю «педиатрия», утвержденному приказом Министерства здравоохранения Российской Федерации от 20 февраля 2026 года №120н.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rPr>
          <w:rFonts w:cs="Times New Roman"/>
          <w:color w:val="auto"/>
        </w:rPr>
      </w:pP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jc w:val="center"/>
        <w:rPr>
          <w:rFonts w:cs="Times New Roman"/>
          <w:b/>
          <w:bCs/>
          <w:color w:val="auto"/>
        </w:rPr>
      </w:pPr>
      <w:r>
        <w:rPr>
          <w:rFonts w:cs="Times New Roman"/>
          <w:b/>
          <w:bCs/>
          <w:color w:val="auto"/>
        </w:rPr>
        <w:t xml:space="preserve">Трехуровневая система организации медицинской помощи детям.</w:t>
      </w:r>
      <w:r>
        <w:rPr>
          <w:rFonts w:cs="Times New Roman"/>
          <w:b/>
          <w:bCs/>
          <w:color w:val="auto"/>
        </w:rPr>
      </w:r>
      <w:r>
        <w:rPr>
          <w:rFonts w:cs="Times New Roman"/>
          <w:b/>
          <w:bCs/>
          <w:color w:val="auto"/>
        </w:rPr>
      </w:r>
    </w:p>
    <w:p>
      <w:pPr>
        <w:pStyle w:val="987"/>
        <w:numPr>
          <w:ilvl w:val="0"/>
          <w:numId w:val="0"/>
        </w:numPr>
        <w:ind w:firstLine="709"/>
        <w:jc w:val="center"/>
        <w:rPr>
          <w:rFonts w:cs="Times New Roman"/>
          <w:b/>
          <w:bCs/>
          <w:color w:val="auto"/>
        </w:rPr>
      </w:pPr>
      <w:r>
        <w:rPr>
          <w:rFonts w:cs="Times New Roman"/>
          <w:b/>
          <w:bCs/>
          <w:color w:val="auto"/>
        </w:rPr>
      </w:r>
      <w:r>
        <w:rPr>
          <w:rFonts w:cs="Times New Roman"/>
          <w:b/>
          <w:bCs/>
          <w:color w:val="auto"/>
        </w:rPr>
      </w:r>
      <w:r>
        <w:rPr>
          <w:rFonts w:cs="Times New Roman"/>
          <w:b/>
          <w:bCs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 целях обеспечения доступности и качества оказания медицинской помощи, преемственности на ее этапах, приближения к пациентам специализированн</w:t>
      </w:r>
      <w:r>
        <w:rPr>
          <w:rFonts w:cs="Times New Roman"/>
          <w:color w:val="auto"/>
        </w:rPr>
        <w:t xml:space="preserve">ых видов медицинской помощи, а также рационального использования имеющихся ресурсов медицинские организации Ленинградской области, оказывающие медицинскую помощь по профилю «педиатрия» подразделяются на три уровня в соответствии с функциональными задачами.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оказании первичной медико-санитарной помощи детям: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Первый уровень (первичный) — подразделения, оказывающие первичную доврачебную медико-санитарную помощь, первичную врачебную медико-санитарную помощь, первичную спе</w:t>
      </w:r>
      <w:r>
        <w:rPr>
          <w:rFonts w:cs="Times New Roman"/>
          <w:color w:val="auto"/>
        </w:rPr>
        <w:t xml:space="preserve">циализированную медико-санитарную помощь в части обеспечения первичного приема населения и последующего диспансерного наблюдения, а также отделения (койки) районных, центральных районных больниц, оказывающих специализированную помощь по профилю «Педиатрия»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Основные задачи первого уровня: организация и проведение мероприятий по профилактике, раннему выявлению и лечению заболеваний и состояний, формирование з</w:t>
      </w:r>
      <w:r>
        <w:rPr>
          <w:rFonts w:cs="Times New Roman"/>
          <w:color w:val="auto"/>
        </w:rPr>
        <w:t xml:space="preserve">дорового образа жизни, в том числе снижение уровня факторов риска заболеваний, и санитарно-гигиеническое просвещение. Оказание неотложной медицинской помощи при острых и внезапных заболеваниях и состояниях, травмах, отравлениях и других несчастных случаях.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Второй уровень (специализированный) — лечебно-диагностические (специализированные) отделения, оказывающие первичную специализированную медико-санитарную помощь, в том числе </w:t>
      </w:r>
      <w:r>
        <w:rPr>
          <w:rFonts w:cs="Times New Roman"/>
          <w:color w:val="auto"/>
        </w:rPr>
        <w:t xml:space="preserve">осуществляющие консультативно-диагностическое обеспечение прикрепленного по территориально-участковому принципу населения, а также отделения межрайонных, а также городских больниц, оказывающих специализированную помощь детям с соматическими заболеваниями.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Основные задачи второго уровня: профилактика, диагностика и лечение заболеваний и состояний, требующих применения специальных методов исследований, обеспечение консультативной, диагностической </w:t>
      </w:r>
      <w:r>
        <w:rPr>
          <w:rFonts w:cs="Times New Roman"/>
          <w:color w:val="auto"/>
        </w:rPr>
        <w:t xml:space="preserve">и специализированной помощью по профилю заболевания, определение рекомендаций по дальнейшему лечению больных.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Третий уровень (специализированный консультативно - диагностический, в том числе высо</w:t>
      </w:r>
      <w:r>
        <w:rPr>
          <w:rFonts w:cs="Times New Roman"/>
          <w:color w:val="auto"/>
        </w:rPr>
        <w:t xml:space="preserve">котехнологичный) - лечебно-диагностические специализированные подразделения стационарных учреждений, на базе которых осуществляются консультативно-диагностические приемы, оказывается специализированная, в том числе высокотехнологичная, медицинская помощь.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Основные задачи третьего уровня: консультативно-диагностическая помощь с применением ресурсоемких диагностических технологий, в том числе в условиях стационара, использование имеющегося клинического и научно-практического потенциала.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Оказание первичной медико-санитарной помощи детям осуществляется: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На первом уро</w:t>
      </w:r>
      <w:r>
        <w:rPr>
          <w:rFonts w:cs="Times New Roman"/>
          <w:color w:val="auto"/>
        </w:rPr>
        <w:t xml:space="preserve">вне: детскими поликлиниками, или медицинскими организациями, имеющими в своем составе подразделения (фельдшерские пункты, врачебные амбулатории, поликлинические отделения), оказывающие первичную медико-санитарную помощь детям по территориальному принципу.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На втором уровне: поликлиническими подразделениями медицинских организаций, имеющими статус межрайонного медицинского центра.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На третьем уровне: специализированные консультативно-диагностические центры.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Оказание специализированной медицинской помощи детям осуществляется: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На первом уровне: детскими отделениями (койками) районных больниц, центральных районных больниц по территориальному принципу.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На втором уровне: детскими отделениями городских больниц, межрайонных медицинских центров, оказывающих специализированную помощь детям по профилю «педиатрия» (с соматическими заболеваниями).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На третьем уровне: ЛОГБУЗ «ДКБ», оказывающая специализированную, в том числе высокотехнологичную, медицинскую помощь по профилю «педиатрия».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Перечень медицинских организаций, оказывающих медицинскую помощь детскому населению Ленинградской области, по уровню оказания медицинской помощи формируется и утверждается Комитетом по здравоохранению Ленинградской области с учетом </w:t>
      </w:r>
      <w:r>
        <w:rPr>
          <w:rFonts w:cs="Times New Roman"/>
          <w:color w:val="auto"/>
          <w:highlight w:val="white"/>
        </w:rPr>
        <w:t xml:space="preserve">положений </w:t>
      </w:r>
      <w:r>
        <w:rPr>
          <w:rFonts w:cs="Times New Roman"/>
          <w:color w:val="auto"/>
        </w:rPr>
        <w:t xml:space="preserve">постановления Правительства Ленинг</w:t>
      </w:r>
      <w:r>
        <w:rPr>
          <w:rFonts w:cs="Times New Roman"/>
          <w:color w:val="auto"/>
        </w:rPr>
        <w:t xml:space="preserve">радской области от 14 декабря </w:t>
      </w:r>
      <w:r>
        <w:rPr>
          <w:rFonts w:cs="Times New Roman"/>
          <w:color w:val="auto"/>
        </w:rPr>
        <w:t xml:space="preserve">2020 </w:t>
      </w:r>
      <w:r>
        <w:rPr>
          <w:rFonts w:cs="Times New Roman"/>
          <w:color w:val="auto"/>
        </w:rPr>
        <w:t xml:space="preserve">года </w:t>
      </w:r>
      <w:r>
        <w:rPr>
          <w:rFonts w:cs="Times New Roman"/>
          <w:color w:val="auto"/>
        </w:rPr>
        <w:t xml:space="preserve">№ 819 «Об утверждении региональной программы модернизации первичного звена здравоохранения Ленинградской области» и приказа Комитета по здравоохранени</w:t>
      </w:r>
      <w:r>
        <w:rPr>
          <w:rFonts w:cs="Times New Roman"/>
          <w:color w:val="auto"/>
        </w:rPr>
        <w:t xml:space="preserve">ю Ленинградской области от 19 мая </w:t>
      </w:r>
      <w:r>
        <w:rPr>
          <w:rFonts w:cs="Times New Roman"/>
          <w:color w:val="auto"/>
        </w:rPr>
        <w:t xml:space="preserve">2015</w:t>
      </w:r>
      <w:r>
        <w:rPr>
          <w:rFonts w:cs="Times New Roman"/>
          <w:color w:val="auto"/>
        </w:rPr>
        <w:t xml:space="preserve"> года</w:t>
      </w:r>
      <w:r>
        <w:rPr>
          <w:rFonts w:cs="Times New Roman"/>
          <w:color w:val="auto"/>
        </w:rPr>
        <w:t xml:space="preserve"> № 10 «Об</w:t>
      </w:r>
      <w:r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 xml:space="preserve">утверждении</w:t>
      </w:r>
      <w:r>
        <w:rPr>
          <w:rFonts w:cs="Times New Roman"/>
          <w:color w:val="auto"/>
        </w:rPr>
        <w:t xml:space="preserve"> Порядка создания и организации медицинских округов Ленинградской области и Перечня медицинских округов Ленинградской области и их структурных подразделений».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6"/>
        <w:contextualSpacing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b/>
          <w:bCs/>
          <w:lang w:eastAsia="ru-RU"/>
        </w:rPr>
      </w:pPr>
      <w:r>
        <w:rPr>
          <w:b/>
          <w:bCs/>
          <w:szCs w:val="28"/>
          <w:lang w:eastAsia="ru-RU"/>
        </w:rPr>
        <w:t xml:space="preserve">\</w:t>
      </w:r>
      <w:r>
        <w:rPr>
          <w:b/>
          <w:bCs/>
          <w:szCs w:val="28"/>
          <w:lang w:eastAsia="ru-RU"/>
        </w:rPr>
      </w:r>
      <w:r>
        <w:rPr>
          <w:b/>
          <w:bCs/>
          <w:lang w:eastAsia="ru-RU"/>
        </w:rPr>
      </w:r>
    </w:p>
    <w:p>
      <w:pPr>
        <w:jc w:val="center"/>
        <w:rPr>
          <w:b/>
          <w:bCs/>
          <w:lang w:eastAsia="ru-RU"/>
        </w:rPr>
      </w:pPr>
      <w:r>
        <w:rPr>
          <w:b/>
          <w:bCs/>
          <w:szCs w:val="28"/>
          <w:highlight w:val="none"/>
          <w:lang w:eastAsia="ru-RU"/>
        </w:rPr>
      </w:r>
      <w:r>
        <w:rPr>
          <w:b/>
          <w:bCs/>
          <w:szCs w:val="28"/>
          <w:highlight w:val="none"/>
          <w:lang w:eastAsia="ru-RU"/>
        </w:rPr>
      </w:r>
      <w:r>
        <w:rPr>
          <w:b/>
          <w:bCs/>
          <w:lang w:eastAsia="ru-RU"/>
        </w:rPr>
      </w:r>
    </w:p>
    <w:p>
      <w:pPr>
        <w:jc w:val="center"/>
        <w:rPr>
          <w:b/>
          <w:bCs/>
          <w:highlight w:val="none"/>
          <w:lang w:eastAsia="ru-RU"/>
        </w:rPr>
      </w:pPr>
      <w:r>
        <w:rPr>
          <w:b/>
          <w:bCs/>
          <w:szCs w:val="28"/>
          <w:highlight w:val="none"/>
          <w:lang w:eastAsia="ru-RU"/>
        </w:rPr>
      </w:r>
      <w:r>
        <w:rPr>
          <w:b/>
          <w:bCs/>
          <w:szCs w:val="28"/>
          <w:highlight w:val="none"/>
          <w:lang w:eastAsia="ru-RU"/>
        </w:rPr>
      </w:r>
      <w:r>
        <w:rPr>
          <w:b/>
          <w:bCs/>
          <w:highlight w:val="none"/>
          <w:lang w:eastAsia="ru-RU"/>
        </w:rPr>
      </w:r>
    </w:p>
    <w:p>
      <w:pPr>
        <w:jc w:val="center"/>
        <w:rPr>
          <w:b/>
          <w:bCs/>
          <w:highlight w:val="none"/>
          <w:lang w:eastAsia="ru-RU"/>
        </w:rPr>
      </w:pPr>
      <w:r>
        <w:rPr>
          <w:b/>
          <w:bCs/>
          <w:szCs w:val="28"/>
          <w:lang w:eastAsia="ru-RU"/>
        </w:rPr>
        <w:t xml:space="preserve">Показания для направления/перевода пациента в медицинские организации </w:t>
      </w:r>
      <w:r>
        <w:rPr>
          <w:b/>
          <w:bCs/>
          <w:szCs w:val="28"/>
          <w:lang w:val="en-US" w:eastAsia="ru-RU"/>
        </w:rPr>
        <w:t xml:space="preserve">II</w:t>
      </w:r>
      <w:r>
        <w:rPr>
          <w:b/>
          <w:bCs/>
          <w:szCs w:val="28"/>
          <w:lang w:eastAsia="ru-RU"/>
        </w:rPr>
        <w:t xml:space="preserve"> и </w:t>
      </w:r>
      <w:r>
        <w:rPr>
          <w:b/>
          <w:bCs/>
          <w:szCs w:val="28"/>
          <w:lang w:val="en-US" w:eastAsia="ru-RU"/>
        </w:rPr>
        <w:t xml:space="preserve">III</w:t>
      </w:r>
      <w:r>
        <w:rPr>
          <w:b/>
          <w:bCs/>
          <w:szCs w:val="28"/>
          <w:lang w:eastAsia="ru-RU"/>
        </w:rPr>
        <w:t xml:space="preserve"> уровня.</w:t>
      </w:r>
      <w:r>
        <w:rPr>
          <w:b/>
          <w:bCs/>
          <w:szCs w:val="28"/>
          <w:lang w:eastAsia="ru-RU"/>
        </w:rPr>
      </w:r>
      <w:r>
        <w:rPr>
          <w:b/>
          <w:bCs/>
          <w:highlight w:val="none"/>
          <w:lang w:eastAsia="ru-RU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Показаниями для направления ребенка на консультативный прием и/или госпитализацию в медицинские организации II уровня (межрайонные центры) являются: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  <w:highlight w:val="white"/>
        </w:rPr>
      </w:pPr>
      <w:r>
        <w:rPr>
          <w:rFonts w:cs="Times New Roman"/>
          <w:color w:val="auto"/>
          <w:highlight w:val="white"/>
          <w:lang w:eastAsia="ru-RU"/>
        </w:rPr>
        <w:t xml:space="preserve">1) отсутствие в медицинской организации I уровня врача-специалиста соответствующего профиля;</w:t>
      </w:r>
      <w:r>
        <w:rPr>
          <w:rFonts w:cs="Times New Roman"/>
          <w:color w:val="auto"/>
          <w:highlight w:val="white"/>
        </w:rPr>
      </w:r>
      <w:r>
        <w:rPr>
          <w:rFonts w:cs="Times New Roman"/>
          <w:color w:val="auto"/>
          <w:highlight w:val="white"/>
        </w:rPr>
      </w:r>
    </w:p>
    <w:p>
      <w:pPr>
        <w:rPr>
          <w:szCs w:val="28"/>
          <w:highlight w:val="white"/>
        </w:rPr>
      </w:pPr>
      <w:r>
        <w:rPr>
          <w:szCs w:val="28"/>
          <w:highlight w:val="white"/>
          <w:lang w:eastAsia="ru-RU"/>
        </w:rPr>
        <w:t xml:space="preserve">2) необходимость проведения дополнительных диагностических исследований, не доступных в медицинской организации I уровня;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>
      <w:pPr>
        <w:rPr>
          <w:szCs w:val="28"/>
          <w:highlight w:val="white"/>
        </w:rPr>
      </w:pPr>
      <w:r>
        <w:rPr>
          <w:szCs w:val="28"/>
          <w:highlight w:val="white"/>
          <w:lang w:eastAsia="ru-RU"/>
        </w:rPr>
        <w:t xml:space="preserve">3) отсутствие клинического эффекта от проводимого лечения в  амбулаторных условиях в течение 48-72 часов при заболеваниях средней степени тяжести;</w:t>
      </w:r>
      <w:r>
        <w:rPr>
          <w:szCs w:val="28"/>
          <w:highlight w:val="white"/>
        </w:rPr>
      </w:r>
      <w:r>
        <w:rPr>
          <w:szCs w:val="28"/>
          <w:highlight w:val="white"/>
        </w:rPr>
      </w:r>
    </w:p>
    <w:p>
      <w:pPr>
        <w:rPr>
          <w:szCs w:val="28"/>
          <w:lang w:eastAsia="ru-RU"/>
        </w:rPr>
      </w:pPr>
      <w:r>
        <w:rPr>
          <w:szCs w:val="28"/>
          <w:highlight w:val="white"/>
          <w:lang w:eastAsia="ru-RU"/>
        </w:rPr>
        <w:t xml:space="preserve">4) н</w:t>
      </w:r>
      <w:r>
        <w:rPr>
          <w:szCs w:val="28"/>
          <w:lang w:eastAsia="ru-RU"/>
        </w:rPr>
        <w:t xml:space="preserve">еобходимость уточнения диагноза при неясной клинической картине.</w:t>
      </w: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pPr>
        <w:pStyle w:val="987"/>
        <w:ind w:left="0" w:firstLine="709"/>
        <w:rPr>
          <w:rFonts w:cs="Times New Roman"/>
        </w:rPr>
      </w:pPr>
      <w:r>
        <w:rPr>
          <w:rFonts w:cs="Times New Roman"/>
          <w:lang w:eastAsia="ru-RU"/>
        </w:rPr>
        <w:t xml:space="preserve">Показаниями для направления ребенка в медицинские организации III уровня (областные специализированные центры) являются:</w:t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1) наличие у ребенка тяжелого течения заболевания, угрожающего состояния или его осложнений, требующих оказания специализированной, в  том числе высокотехнологичной, медицинской помощи;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2) отсутствие клинического эффекта от проводимой терапии на II уровне в  течение 24-48 часов при сохраняющейся угрозе прогрессирования заболевания;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3) необходимость применения высокотехнологичных методов диагностики и лечения;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4) наличие </w:t>
      </w: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орфанных</w:t>
      </w: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 (редких) заболеваний;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5) рецидивирующее течение заболевания с частыми обострениями (более 3- х раз в год);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6) показания по результатам телемедицинских консультаций.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87"/>
        <w:ind w:left="0" w:firstLine="709"/>
        <w:rPr>
          <w:rFonts w:cs="Times New Roman"/>
          <w:highlight w:val="white"/>
        </w:rPr>
      </w:pPr>
      <w:r>
        <w:rPr>
          <w:rFonts w:cs="Times New Roman"/>
          <w:highlight w:val="white"/>
          <w:lang w:eastAsia="ru-RU"/>
        </w:rPr>
        <w:t xml:space="preserve">Критериями для перевода пациента с одного уровня оказания медицинской помощи на другой (более высокий) являются:</w:t>
      </w:r>
      <w:r>
        <w:rPr>
          <w:rFonts w:cs="Times New Roman"/>
          <w:highlight w:val="white"/>
        </w:rPr>
      </w:r>
      <w:r>
        <w:rPr>
          <w:rFonts w:cs="Times New Roman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1) прогрессирование заболевания с ухудшением состояния на фоне проводимой терапии;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2) отсутствие положительной динамики в течение времени, установленного клиническими рекомендациями (не более 48 часов для II уровня);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3) наличие признаков </w:t>
      </w: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жизнеугрожающего</w:t>
      </w: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 состояния;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4)</w:t>
      </w:r>
      <w:r>
        <w:rPr>
          <w:rFonts w:ascii="Times New Roman" w:hAnsi="Times New Roman" w:cs="Times New Roman"/>
          <w:color w:val="auto"/>
          <w:lang w:eastAsia="ru-RU"/>
        </w:rPr>
        <w:t xml:space="preserve"> выявление сопутствующей патологии, требующей коррекции в условиях II или III уровня;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Оказание экстренной и неотложной медицинской помощи.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необходимости оказания экстренной и неотложной медицинской помощи дети госпитализируются в  медицинские организации согласно перечню медицинских организаций Ленинградской области, готовых к оказанию экстренной медицинской помощи детскому населению, </w:t>
      </w:r>
      <w:r>
        <w:rPr>
          <w:rFonts w:cs="Times New Roman"/>
          <w:color w:val="auto"/>
          <w:highlight w:val="white"/>
        </w:rPr>
        <w:t xml:space="preserve">указанные в Приложении № 2 к настоящему Приказу</w:t>
      </w:r>
      <w:r>
        <w:rPr>
          <w:rFonts w:cs="Times New Roman"/>
          <w:color w:val="auto"/>
        </w:rPr>
        <w:t xml:space="preserve">, в соответствии с распоряжением Комитета по здравоохранению </w:t>
      </w:r>
      <w:r>
        <w:rPr>
          <w:rFonts w:cs="Times New Roman"/>
          <w:color w:val="auto"/>
        </w:rPr>
        <w:t xml:space="preserve">Ленинградской области от  29 декабря </w:t>
      </w:r>
      <w:r>
        <w:rPr>
          <w:rFonts w:cs="Times New Roman"/>
          <w:color w:val="auto"/>
        </w:rPr>
        <w:t xml:space="preserve">2025 </w:t>
      </w:r>
      <w:r>
        <w:rPr>
          <w:rFonts w:cs="Times New Roman"/>
          <w:color w:val="auto"/>
        </w:rPr>
        <w:t xml:space="preserve">года </w:t>
      </w:r>
      <w:r>
        <w:rPr>
          <w:rFonts w:cs="Times New Roman"/>
          <w:color w:val="auto"/>
        </w:rPr>
        <w:t xml:space="preserve">№ 687-о «Об утверждении распределения медицинских организаций Ленинградской области в </w:t>
      </w:r>
      <w:r>
        <w:rPr>
          <w:rFonts w:cs="Times New Roman"/>
          <w:color w:val="auto"/>
        </w:rPr>
        <w:t xml:space="preserve">соответствии с трехуровневой</w:t>
      </w:r>
      <w:r>
        <w:rPr>
          <w:rFonts w:cs="Times New Roman"/>
          <w:color w:val="auto"/>
        </w:rPr>
        <w:t xml:space="preserve"> системой оказания медицинской помощи на 2026 год».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развитии </w:t>
      </w:r>
      <w:r>
        <w:rPr>
          <w:rFonts w:cs="Times New Roman"/>
          <w:color w:val="auto"/>
        </w:rPr>
        <w:t xml:space="preserve">жизнеугрожающих</w:t>
      </w:r>
      <w:r>
        <w:rPr>
          <w:rFonts w:cs="Times New Roman"/>
          <w:color w:val="auto"/>
        </w:rPr>
        <w:t xml:space="preserve"> состояний медицинскую эвакуацию ребенка осуществляют в отделение анестезиол</w:t>
      </w:r>
      <w:r>
        <w:rPr>
          <w:rFonts w:cs="Times New Roman"/>
          <w:color w:val="auto"/>
        </w:rPr>
        <w:t xml:space="preserve">огии и реанимации и/или отделение реанимации и интенсивной терапии медицинской организации, ближайшей по пути следования в сторону медицинских организаций более высокого уровня с койками анестезиологии и реанимации для детей, с последующим информированием </w:t>
      </w:r>
      <w:r>
        <w:rPr>
          <w:rFonts w:cs="Times New Roman"/>
          <w:color w:val="auto"/>
          <w:highlight w:val="white"/>
        </w:rPr>
        <w:t xml:space="preserve">отделения экстренной консультативной скорой медицинской помощи (далее – ОЭКСМП) </w:t>
      </w:r>
      <w:r>
        <w:rPr>
          <w:rFonts w:cs="Times New Roman"/>
          <w:color w:val="auto"/>
        </w:rPr>
        <w:t xml:space="preserve">ЛОГБУЗ «ДКБ» для принятия решения о месте дальнейшего лечения</w:t>
      </w:r>
      <w:r>
        <w:rPr>
          <w:rFonts w:cs="Times New Roman"/>
          <w:color w:val="auto"/>
        </w:rPr>
        <w:t xml:space="preserve"> и </w:t>
      </w:r>
      <w:r>
        <w:rPr>
          <w:rFonts w:cs="Times New Roman"/>
          <w:color w:val="auto"/>
        </w:rPr>
        <w:t xml:space="preserve">выборе</w:t>
      </w:r>
      <w:r>
        <w:rPr>
          <w:rFonts w:cs="Times New Roman"/>
          <w:color w:val="auto"/>
        </w:rPr>
        <w:t xml:space="preserve"> транспортного средства, </w:t>
      </w:r>
      <w:r>
        <w:rPr>
          <w:rFonts w:cs="Times New Roman"/>
          <w:color w:val="auto"/>
          <w:highlight w:val="white"/>
        </w:rPr>
        <w:t xml:space="preserve">в соответствии с распоряжением</w:t>
      </w:r>
      <w:r>
        <w:rPr>
          <w:rFonts w:cs="Times New Roman"/>
          <w:color w:val="auto"/>
        </w:rPr>
        <w:t xml:space="preserve"> Комит</w:t>
      </w:r>
      <w:r>
        <w:rPr>
          <w:rFonts w:cs="Times New Roman"/>
          <w:color w:val="auto"/>
        </w:rPr>
        <w:t xml:space="preserve">ета по здравоохранению от 25 мая </w:t>
      </w:r>
      <w:r>
        <w:rPr>
          <w:rFonts w:cs="Times New Roman"/>
          <w:color w:val="auto"/>
        </w:rPr>
        <w:t xml:space="preserve">2017</w:t>
      </w:r>
      <w:r>
        <w:rPr>
          <w:rFonts w:cs="Times New Roman"/>
          <w:color w:val="auto"/>
        </w:rPr>
        <w:t xml:space="preserve"> года</w:t>
      </w:r>
      <w:r>
        <w:rPr>
          <w:rFonts w:cs="Times New Roman"/>
          <w:color w:val="auto"/>
        </w:rPr>
        <w:t xml:space="preserve"> №208-о «О регламенте взаимодействия отделения экстренной консультативной скорой медицинской помощи ЛОГБУЗ «ДКБ» и государственных учреждений здравоохранения Ленинградской области».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оказании скорой медицинской помощи в случае необходимости осуществляется медицинская эвакуация, которая включает в  себя санитарно-авиационную и санитарную эвакуацию.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развитии </w:t>
      </w:r>
      <w:r>
        <w:rPr>
          <w:rFonts w:cs="Times New Roman"/>
          <w:color w:val="auto"/>
        </w:rPr>
        <w:t xml:space="preserve">жизнеугрожающих</w:t>
      </w:r>
      <w:r>
        <w:rPr>
          <w:rFonts w:cs="Times New Roman"/>
          <w:color w:val="auto"/>
        </w:rPr>
        <w:t xml:space="preserve"> состояний осуществляется медицинская эвакуация ребенка в ближайшую по пути следования медицинскую организацию, оказывающую медицинскую помощь детям, имеющую в своей структуре отделение ане</w:t>
      </w:r>
      <w:r>
        <w:rPr>
          <w:rFonts w:cs="Times New Roman"/>
          <w:color w:val="auto"/>
        </w:rPr>
        <w:t xml:space="preserve">стезиологии-реанимации (койки реанимационные) или стационарное отделение скорой медицинской помощи и обеспечивающую круглосуточное медицинское наблюдение и лечение в  стационарных условиях, оказание медицинской помощи в экстренной форме и неотложной форме.</w:t>
      </w:r>
      <w:r>
        <w:rPr>
          <w:rFonts w:cs="Times New Roman"/>
          <w:color w:val="auto"/>
        </w:rPr>
        <w:t xml:space="preserve"> Сотрудники медицинской организации, куда госпитализирован пациент, оказывают ему необходимую медицинскую помощь и в течени</w:t>
      </w:r>
      <w:r>
        <w:rPr>
          <w:rFonts w:cs="Times New Roman"/>
          <w:color w:val="auto"/>
        </w:rPr>
        <w:t xml:space="preserve">и</w:t>
      </w:r>
      <w:r>
        <w:rPr>
          <w:rFonts w:cs="Times New Roman"/>
          <w:color w:val="auto"/>
        </w:rPr>
        <w:t xml:space="preserve"> часа от поступления информируют о нем дежурного анестезиолога-реаниматолога ОЭКСМП ЛОГБУЗ «ДКБ».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Врач анестезиолог-реаниматолог ОЭКСМП оказывает консультативную помощь и при необходимости направляет к пациенту выездную реанимационно-консультативную бригаду.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После устранения </w:t>
      </w:r>
      <w:r>
        <w:rPr>
          <w:rFonts w:cs="Times New Roman"/>
          <w:color w:val="auto"/>
          <w:lang w:eastAsia="ru-RU"/>
        </w:rPr>
        <w:t xml:space="preserve">жизнеугрожающего</w:t>
      </w:r>
      <w:r>
        <w:rPr>
          <w:rFonts w:cs="Times New Roman"/>
          <w:color w:val="auto"/>
          <w:lang w:eastAsia="ru-RU"/>
        </w:rPr>
        <w:t xml:space="preserve"> состояния и при необ</w:t>
      </w:r>
      <w:r>
        <w:rPr>
          <w:rFonts w:cs="Times New Roman"/>
          <w:color w:val="auto"/>
          <w:lang w:eastAsia="ru-RU"/>
        </w:rPr>
        <w:t xml:space="preserve">ходимости оказания специализированной медицинской помощи осуществляется медицинская эвакуация ребенка в детскую больницу, имеющую в своей структуре отделение, оказывающее специализированную медицинскую помощь по профилю основного заболевания или состояния.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 случае необходимости перевода ребенка из отделения анестезиологии и реанимации медицинской организации в отделение а</w:t>
      </w:r>
      <w:r>
        <w:rPr>
          <w:rFonts w:cs="Times New Roman"/>
          <w:color w:val="auto"/>
        </w:rPr>
        <w:t xml:space="preserve">нестезиологии и реанимации другой медицинской организации более высокого уровня (или из медицинской организации третьего уровня – в  медицинскую организацию также третьего уровня), перевод осуществляется с учетом оценки тяжести состояния пациента по шкале </w:t>
      </w:r>
      <w:r>
        <w:rPr>
          <w:rFonts w:cs="Times New Roman"/>
          <w:color w:val="auto"/>
        </w:rPr>
        <w:t xml:space="preserve">pSOFA</w:t>
      </w:r>
      <w:r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  <w:lang w:eastAsia="ru-RU"/>
        </w:rPr>
        <w:t xml:space="preserve"> </w:t>
      </w:r>
      <w:r>
        <w:rPr>
          <w:rFonts w:cs="Times New Roman"/>
          <w:color w:val="auto"/>
        </w:rPr>
        <w:t xml:space="preserve">менее 4 баллов, в спорных случаях (в том числе оценка по шкале </w:t>
      </w:r>
      <w:r>
        <w:rPr>
          <w:rFonts w:cs="Times New Roman"/>
          <w:color w:val="auto"/>
        </w:rPr>
        <w:t xml:space="preserve">pSOFA</w:t>
      </w:r>
      <w:r>
        <w:rPr>
          <w:rFonts w:cs="Times New Roman"/>
          <w:color w:val="auto"/>
        </w:rPr>
        <w:t xml:space="preserve"> 4</w:t>
      </w:r>
      <w:r>
        <w:rPr>
          <w:rFonts w:cs="Times New Roman"/>
          <w:color w:val="auto"/>
        </w:rPr>
        <w:t xml:space="preserve"> балла и более) решение о возможности перевода пациента принимается врачебной комиссией, при необходимости, с проведением консилиума с участием </w:t>
      </w:r>
      <w:r>
        <w:rPr>
          <w:rFonts w:cs="Times New Roman"/>
          <w:color w:val="auto"/>
        </w:rPr>
        <w:t xml:space="preserve">главного внештатного профильного специалиста Комитета по здравоохранению Ленинградской области. В случае необходимости перевода ребенка из отделения анестезиологии и реанимации медицинской организации т</w:t>
      </w:r>
      <w:r>
        <w:rPr>
          <w:rFonts w:cs="Times New Roman"/>
          <w:color w:val="auto"/>
        </w:rPr>
        <w:t xml:space="preserve">ретьего уровня на более низкий уровень, решение о возможности перевода принимается врачебной комиссией, при необходимости - с проведением консилиума с  участием главного внештатного профильного специалиста Комитета по здравоохранению Ленинградской области.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6"/>
        <w:contextualSpacing/>
        <w:ind w:firstLine="709"/>
        <w:jc w:val="center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86"/>
        <w:contextualSpacing/>
        <w:ind w:firstLine="709"/>
        <w:jc w:val="center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Первичная медико-санитарная помощь.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86"/>
        <w:contextualSpacing/>
        <w:ind w:firstLine="709"/>
        <w:jc w:val="center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Первичная медико-санитарная помощь </w:t>
      </w:r>
      <w:r>
        <w:rPr>
          <w:rFonts w:cs="Times New Roman"/>
          <w:color w:val="auto"/>
        </w:rPr>
        <w:t xml:space="preserve">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формированию здорового образа жизни и санитарно-гигиеническому просвещению населения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Первичная медико-санитарная помощь подразделяется </w:t>
      </w:r>
      <w:r>
        <w:rPr>
          <w:rFonts w:cs="Times New Roman"/>
          <w:color w:val="auto"/>
        </w:rPr>
        <w:t xml:space="preserve">на</w:t>
      </w:r>
      <w:r>
        <w:rPr>
          <w:rFonts w:cs="Times New Roman"/>
          <w:color w:val="auto"/>
        </w:rPr>
        <w:t xml:space="preserve">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1) первичную доврачебную медико-санитарную помощь;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2) первичную врачебную медико-санитарную помощь;</w:t>
      </w:r>
      <w:r/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3) первичную специализированную медико-санитарную помощь.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</w:pPr>
      <w:r>
        <w:t xml:space="preserve">Первичная медико-санитарная помощь оказывается:</w:t>
      </w:r>
      <w:r/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1) в амбулаторных условиях, в том числе: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в медицинской организации, оказывающей первичную медико-санитарную помощь, или ее структурном подразделении;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по м</w:t>
      </w:r>
      <w:r>
        <w:rPr>
          <w:rFonts w:ascii="Times New Roman" w:hAnsi="Times New Roman" w:cs="Times New Roman"/>
          <w:color w:val="auto"/>
        </w:rPr>
        <w:t xml:space="preserve">есту жительства (пребывания) ребенка - при острых заболеваниях, состояниях, обострениях хронических заболеваний в случае вызова медицинского работника или при посещении им пациента с целью наблюдения за его состоянием, течением заболевания и своевременного</w:t>
      </w:r>
      <w:r>
        <w:rPr>
          <w:rFonts w:ascii="Times New Roman" w:hAnsi="Times New Roman" w:cs="Times New Roman"/>
          <w:color w:val="auto"/>
        </w:rPr>
        <w:t xml:space="preserve"> назначения (коррекции) необходимого обследования и (или) лечения (активное посещение), при патронаже отдельных групп населения, при выявлении или угрозе возникновения эпидемии инфекционного заболевания, больных инфекционным заболеванием, контактных с ними</w:t>
      </w:r>
      <w:r>
        <w:rPr>
          <w:rFonts w:ascii="Times New Roman" w:hAnsi="Times New Roman" w:cs="Times New Roman"/>
          <w:color w:val="auto"/>
        </w:rPr>
        <w:t xml:space="preserve"> лиц и лиц, подозрительных на инфекционное заболевание, в том числе путем подворных (поквартирных) обходов, осмотров обучающихся;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по месту выезда мобильной медицинской бригады, в том числе для оказания медицинской помощи жителям населенных пунктов, расположенных на значительном удалении от медицинской организации и (или) имеющих плохую транспортную доступность с учетом </w:t>
      </w:r>
      <w:r>
        <w:rPr>
          <w:rFonts w:ascii="Times New Roman" w:hAnsi="Times New Roman" w:cs="Times New Roman"/>
          <w:color w:val="auto"/>
        </w:rPr>
        <w:t xml:space="preserve">климато</w:t>
      </w:r>
      <w:r>
        <w:rPr>
          <w:rFonts w:ascii="Times New Roman" w:hAnsi="Times New Roman" w:cs="Times New Roman"/>
          <w:color w:val="auto"/>
        </w:rPr>
        <w:t xml:space="preserve">-географических</w:t>
      </w:r>
      <w:r>
        <w:rPr>
          <w:rFonts w:ascii="Times New Roman" w:hAnsi="Times New Roman" w:cs="Times New Roman"/>
          <w:color w:val="auto"/>
        </w:rPr>
        <w:t xml:space="preserve"> условий, при организации профилактических мероприятий, включая место учебы и/или работы несовершеннолетних, при организации культурно-массовых и  спортивных мероприятий;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2) в условиях дневного стационара.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</w:pPr>
      <w:r>
        <w:t xml:space="preserve">Первичная медико-санитарная помощь оказывается с учетом:</w:t>
      </w:r>
      <w:r/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1) формирования расписания приема медицинских работников с учетом использования всех каналов записи на прием, в том числе через единый портал государственных и муниципальных услуг;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2) приглашения пациентов на прохождение профилактических мероприятий;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3) распределения потоков с учетом целей обращения пациента в  медицинскую организацию;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4) перераспределения функций между работниками медицинской организации, в том числе на работников без медицинского образования.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Организация оказания первичной медико-санитарной помощи детям в целях приближения к их месту жительства, месту работы</w:t>
      </w:r>
      <w:r>
        <w:rPr>
          <w:rFonts w:cs="Times New Roman"/>
          <w:color w:val="auto"/>
        </w:rPr>
        <w:t xml:space="preserve"> или обучения осуществляется по территориально-участковому принципу, предусматривающему формирование групп обслуживаемого населения по  месту жительства, месту работы или учебы в определенных организациях, с  учетом положений статьи 21 Федерального закона </w:t>
      </w:r>
      <w:r>
        <w:rPr>
          <w:rFonts w:cs="Times New Roman"/>
          <w:color w:val="auto"/>
          <w:highlight w:val="white"/>
        </w:rPr>
        <w:t xml:space="preserve">№ </w:t>
      </w:r>
      <w:r>
        <w:rPr>
          <w:rFonts w:cs="Times New Roman"/>
          <w:color w:val="auto"/>
        </w:rPr>
        <w:t xml:space="preserve">323-ФЗ.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Распределение детей по участкам осуществляет</w:t>
      </w:r>
      <w:r>
        <w:rPr>
          <w:rFonts w:cs="Times New Roman"/>
          <w:color w:val="auto"/>
        </w:rPr>
        <w:t xml:space="preserve">ся руководителями медицинских организаций, оказывающих первичную медико-санитарную помощь, в зависимости от условий оказания первичной медико-санитарной помощи в целях максимального обеспечения ее доступности и соблюдения иных прав в сфере охраны здоровья.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Рекомендуемая численность прикрепленных детей на участке составляет 800 детей. В местностях с низкой плотностью населения участки могут быть сформированы с меньшей численностью принятых на</w:t>
      </w:r>
      <w:r>
        <w:rPr>
          <w:rFonts w:cs="Times New Roman"/>
          <w:color w:val="auto"/>
        </w:rPr>
        <w:t xml:space="preserve"> обслуживание детей с сохранением штатных должностей врачей-педиатров участковых, врачей общей практики (семейных врачей), медицинских сестер участковых (медицинских братьев участковых), медицинских сестер (медицинских братьев), фельдшеров в полном объеме.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 малочисленных населенных пунктах, в которых отсутствуют специализированные медицинские организации (их структурные подразделения), первичная медико-санитарная помощь оказывается в  кабинетах врачей общей практики (семейных врачей), </w:t>
      </w:r>
      <w:r>
        <w:rPr>
          <w:rFonts w:cs="Times New Roman"/>
          <w:color w:val="auto"/>
        </w:rPr>
        <w:t xml:space="preserve">фельдшерско-акушерских пунктах, осуществляющих свою деятельность на основании положения об организации оказания первичной медико-санитарной помощи взрослому населению, утверждаемого в соответствии с пунктом 1 части 1 статьи 37 Федерального закона № 323-ФЗ.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Первичная доврачебная медико-санитарная помощь оказывается фельдшерами и другими медицинскими работниками со средним профессиональным образованием, а также с высшим образованием (уровень </w:t>
      </w:r>
      <w:r>
        <w:rPr>
          <w:rFonts w:cs="Times New Roman"/>
          <w:color w:val="auto"/>
        </w:rPr>
        <w:t xml:space="preserve">бакалавриата</w:t>
      </w:r>
      <w:r>
        <w:rPr>
          <w:rFonts w:cs="Times New Roman"/>
          <w:color w:val="auto"/>
        </w:rPr>
        <w:t xml:space="preserve">).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Первичная врачебная медико-санитарная помощь оказывается врачами-педиатрами участковыми, врачами-педиатрами и врачами общей практики (семейными врачами).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 целях оказания детям первичной медико-санитарной помощи при внезапных острых заболеваниях, состояниях, обострении хронических заболеваний, не сопровождающихся угрозой жизни ребенка и не требующих экстренной </w:t>
      </w:r>
      <w:r>
        <w:rPr>
          <w:rFonts w:cs="Times New Roman"/>
          <w:color w:val="auto"/>
        </w:rPr>
        <w:t xml:space="preserve">медицинской помощи, в структуре медицинских организаций организуется отделение (кабинет) неотложной медицинской помощи.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 субботние, воскресные и праздничные дни первичная медико-санитарная помощь может оказываться медицинскими работниками отделения (кабинета) неотложной медицинской помощи или дежурными врачами, фельдшерами при отсутствии в медицинской организ</w:t>
      </w:r>
      <w:r>
        <w:rPr>
          <w:rFonts w:cs="Times New Roman"/>
          <w:color w:val="auto"/>
        </w:rPr>
        <w:t xml:space="preserve">ации структурного подразделения, оказывающего медицинскую помощь в неотложной форме. В  случае ухудшения состояния здоровья пациента он должен быть незамедлительно направлен в медицинскую организацию, оказывающую медицинскую помощь в стационарных условиях.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Для оказания медицинской помощи детям с острыми, хроническ</w:t>
      </w:r>
      <w:r>
        <w:rPr>
          <w:rFonts w:cs="Times New Roman"/>
          <w:color w:val="auto"/>
        </w:rPr>
        <w:t xml:space="preserve">ими заболеваниями и их обострениями возможно оказание первичной медико-санитарной помощи на дому при вызове медицинского работника ребенком, его родителями или иными законными представителями, либо по рекомендации выездных бригад скорой медицинской помощи.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Первичная мед</w:t>
      </w:r>
      <w:r>
        <w:rPr>
          <w:rFonts w:cs="Times New Roman"/>
          <w:color w:val="auto"/>
        </w:rPr>
        <w:t xml:space="preserve">ико-санитарная помощь, в том числе первичная специализированная медико-санитарная помощь, детям, проживающим в  населенных пунктах, расположенных на значительном удалении от  медицинской организации и (или) имеющих плохую транспортную доступность с учетом </w:t>
      </w:r>
      <w:r>
        <w:rPr>
          <w:rFonts w:cs="Times New Roman"/>
          <w:color w:val="auto"/>
        </w:rPr>
        <w:t xml:space="preserve">климато</w:t>
      </w:r>
      <w:r>
        <w:rPr>
          <w:rFonts w:cs="Times New Roman"/>
          <w:color w:val="auto"/>
        </w:rPr>
        <w:t xml:space="preserve">-географических условий, а также в случаях отсутствия в медицинской организации врачей-специалистов и (или) отдельного медицинского оборудования, может быть оказана с использованием мобильных медицинских бригад.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Мобильная медицинская б</w:t>
      </w:r>
      <w:r>
        <w:rPr>
          <w:rFonts w:cs="Times New Roman"/>
          <w:color w:val="auto"/>
        </w:rPr>
        <w:t xml:space="preserve">ригада организуется в структуре медицинской организации (ее структурного подразделения), оказывающей первичную медико-санитарную помощь детям. В состав мобильной медицинской бригады по согласованию могут включаться работники других медицинских организаций.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Состав мобильн</w:t>
      </w:r>
      <w:r>
        <w:rPr>
          <w:rFonts w:cs="Times New Roman"/>
          <w:color w:val="auto"/>
        </w:rPr>
        <w:t xml:space="preserve">ой медицинской бригады формируется руководителем медицинской организации, в структуре которой она создана, из числа врачей и медицинских работников со средним профессиональным образованием, исходя из цели ее формирования и возложенных задач с учетом имеющи</w:t>
      </w:r>
      <w:r>
        <w:rPr>
          <w:rFonts w:cs="Times New Roman"/>
          <w:color w:val="auto"/>
        </w:rPr>
        <w:t xml:space="preserve">хся медицинских организаций, оказывающих первичную медико-санитарную помощь, медико-географических особенностей территории обслуживания медицинской организации, ее кадрового и технического потенциала, а также потребности детей в отдельных видах (по профилю</w:t>
      </w:r>
      <w:r>
        <w:rPr>
          <w:rFonts w:cs="Times New Roman"/>
          <w:color w:val="auto"/>
        </w:rPr>
        <w:t xml:space="preserve">) медицинской помощи (включая вопросы индивидуальной и групповой профилактики неинфекционных заболеваний, обучения населения правилам оказания первой помощи, консультирования по вопросам ведения здорового образа жизни).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Работа мобильной медицинск</w:t>
      </w:r>
      <w:r>
        <w:rPr>
          <w:rFonts w:cs="Times New Roman"/>
          <w:color w:val="auto"/>
        </w:rPr>
        <w:t xml:space="preserve">ой бригады осуществляется в  соответствии с планом-графиком выезда мобильной медицинской бригады с  целью оказания медицинской помощи, утвержденным руководителем медицинской организации (ее структурного подразделения), в структуре которой она организована.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Руководство мобильной медицинской бригадой возлагается руководителем медицинской организации (ее структурного подразделения), в  структуре которой она создана, на одного из врачей мобильной медицинской бригады из </w:t>
      </w:r>
      <w:r>
        <w:rPr>
          <w:rFonts w:cs="Times New Roman"/>
          <w:color w:val="auto"/>
        </w:rPr>
        <w:t xml:space="preserve">числа</w:t>
      </w:r>
      <w:r>
        <w:rPr>
          <w:rFonts w:cs="Times New Roman"/>
          <w:color w:val="auto"/>
        </w:rPr>
        <w:t xml:space="preserve"> имеющих опыт лечебной и организационной работы.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Мобильная бригада обеспечивается транспортными средствами, оснащаетс</w:t>
      </w:r>
      <w:r>
        <w:rPr>
          <w:rFonts w:cs="Times New Roman"/>
          <w:color w:val="auto"/>
        </w:rPr>
        <w:t xml:space="preserve">я медицинским оборудованием, расходными материалами, лекарственными препаратами для медицинского применения, необходимыми для оказания медицинской помощи детям, медицинскими изделиями, учебно-методическими пособиями и санитарно-просветительной литературой.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 Первичная медико-санитарная помощ</w:t>
      </w:r>
      <w:r>
        <w:rPr>
          <w:rFonts w:cs="Times New Roman"/>
          <w:color w:val="auto"/>
        </w:rPr>
        <w:t xml:space="preserve">ь может быть оказана с  применением телемедицинских технологий в соответствии с порядком организации и оказания медицинской помощи с применением телемедицинских технологий, устанавливаемым в соответствии с частью 1 статьи 36.2 Федерального закона № 323-ФЗ.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6"/>
        </w:numPr>
        <w:ind w:left="0" w:firstLine="709"/>
        <w:spacing w:line="288" w:lineRule="atLeast"/>
        <w:rPr>
          <w:rFonts w:ascii="Times New Roman" w:hAnsi="Times New Roman" w:cs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auto"/>
        </w:rPr>
        <w:t xml:space="preserve">Организация оказания медицинской помощи детям, в том числе в  период обучения и воспитания в образовательных организациях, осуществляется в порядке, устанавливаемом в соответствии со статьей 54 Федерального закона  № 323- ФЗ и </w:t>
      </w:r>
      <w:r>
        <w:t xml:space="preserve">приказа </w:t>
      </w:r>
      <w:r>
        <w:rPr>
          <w:rStyle w:val="957"/>
          <w:rFonts w:ascii="Times New Roman" w:hAnsi="Times New Roman" w:cs="Times New Roman"/>
          <w:color w:val="auto"/>
          <w:u w:val="none"/>
        </w:rPr>
        <w:t xml:space="preserve">Минздрава России от 27.05.2025 № 313н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 случаях, когда проведение медицинских манипуляций, связанных с оказанием медицинской помощи, может повлечь за собой возникновение боли, несов</w:t>
      </w:r>
      <w:r>
        <w:rPr>
          <w:rFonts w:cs="Times New Roman"/>
          <w:color w:val="auto"/>
        </w:rPr>
        <w:t xml:space="preserve">ершеннолетний имеет право на облегчение боли, связанной с 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</w:r>
      <w:r>
        <w:rPr>
          <w:b/>
          <w:bCs/>
          <w:i/>
          <w:iCs/>
          <w:szCs w:val="28"/>
        </w:rPr>
      </w:r>
      <w:r>
        <w:rPr>
          <w:b/>
          <w:bCs/>
          <w:i/>
          <w:iCs/>
          <w:szCs w:val="28"/>
        </w:rPr>
      </w:r>
    </w:p>
    <w:p>
      <w:pPr>
        <w:jc w:val="center"/>
        <w:rPr>
          <w:b/>
          <w:bCs/>
          <w:i/>
          <w:iCs/>
          <w:szCs w:val="28"/>
        </w:rPr>
      </w:pPr>
      <w:r>
        <w:rPr>
          <w:b/>
          <w:bCs/>
          <w:szCs w:val="28"/>
        </w:rPr>
        <w:t xml:space="preserve">Фельдшерско</w:t>
      </w:r>
      <w:r>
        <w:rPr>
          <w:b/>
          <w:bCs/>
          <w:i/>
          <w:iCs/>
          <w:szCs w:val="28"/>
        </w:rPr>
        <w:t xml:space="preserve">-</w:t>
      </w:r>
      <w:r>
        <w:rPr>
          <w:b/>
          <w:bCs/>
          <w:iCs/>
          <w:szCs w:val="28"/>
        </w:rPr>
        <w:t xml:space="preserve">акушерский пункт</w:t>
      </w:r>
      <w:r>
        <w:rPr>
          <w:b/>
          <w:bCs/>
          <w:i/>
          <w:iCs/>
          <w:szCs w:val="28"/>
        </w:rPr>
        <w:t xml:space="preserve"> </w:t>
      </w:r>
      <w:r>
        <w:rPr>
          <w:b/>
          <w:bCs/>
          <w:i/>
          <w:iCs/>
          <w:szCs w:val="28"/>
        </w:rPr>
      </w:r>
      <w:r>
        <w:rPr>
          <w:b/>
          <w:bCs/>
          <w:i/>
          <w:iCs/>
          <w:szCs w:val="28"/>
        </w:rPr>
      </w:r>
    </w:p>
    <w:p>
      <w:pPr>
        <w:jc w:val="center"/>
        <w:rPr>
          <w:b/>
          <w:bCs/>
          <w:i/>
          <w:szCs w:val="28"/>
        </w:rPr>
      </w:pPr>
      <w:r>
        <w:rPr>
          <w:b/>
          <w:bCs/>
          <w:i/>
          <w:szCs w:val="28"/>
        </w:rPr>
      </w:r>
      <w:r>
        <w:rPr>
          <w:b/>
          <w:bCs/>
          <w:i/>
          <w:szCs w:val="28"/>
        </w:rPr>
      </w:r>
      <w:r>
        <w:rPr>
          <w:b/>
          <w:bCs/>
          <w:i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Фельдшер фельдшерско-акушерского пункта: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1) осуществляет оказание плановой медицинской помощи детям с детскими болезнями в амбулаторных условиях в рамках первичной доврачебной медико-санитарной помощи;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2) осуществляет диспансерное наблюдение за детьми с ранее установленными детскими болезнями, проводит оценку их состояния;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3) осуществляет </w:t>
      </w:r>
      <w:r>
        <w:rPr>
          <w:rFonts w:ascii="Times New Roman" w:hAnsi="Times New Roman" w:cs="Times New Roman"/>
          <w:color w:val="auto"/>
        </w:rPr>
        <w:t xml:space="preserve">контроль за</w:t>
      </w:r>
      <w:r>
        <w:rPr>
          <w:rFonts w:ascii="Times New Roman" w:hAnsi="Times New Roman" w:cs="Times New Roman"/>
          <w:color w:val="auto"/>
        </w:rPr>
        <w:t xml:space="preserve"> выполнением врачебных назначений по  лечению детей с детскими болезнями;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4) при выявлении неотложного состояния у ребёнка фельдшер фельдшерско-акушерского пункта: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незамедлительно информирует врача-педиатра участкового или врача общей практики (семейного врача);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необходимости, оказывает неотложную медицинскую помощь;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вызывает бригаду скорой медицинской помощи из межрайонной (районной, городской) больницы на себя или обеспечивает доставку ребенка санитарным транспортом (участковой больницы, врачебной амбулатории) с  медицинским </w:t>
      </w:r>
      <w:r>
        <w:rPr>
          <w:rFonts w:cs="Times New Roman"/>
          <w:color w:val="auto"/>
        </w:rPr>
        <w:t xml:space="preserve">сопровождением в ближайшую медицин</w:t>
      </w:r>
      <w:r>
        <w:rPr>
          <w:rFonts w:cs="Times New Roman"/>
          <w:color w:val="auto"/>
        </w:rPr>
        <w:t xml:space="preserve">скую организацию, имеющую в своем составе педиатрическое отделение и (или) отделение анестезиологии-реанимации (блок (палату) реанимации и интенсивной терапии), обеспечивающие оказание круглосуточной медицинской помощи, с  учётом тяжести состояния ребенка;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до приезда бригады скорой медицинской помощи ведет мониторинг состояния здоровья ребенка.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</w:r>
      <w:r>
        <w:rPr>
          <w:b/>
          <w:bCs/>
          <w:i/>
          <w:iCs/>
          <w:szCs w:val="28"/>
        </w:rPr>
      </w:r>
      <w:r>
        <w:rPr>
          <w:b/>
          <w:bCs/>
          <w:i/>
          <w:iCs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Амбулаторно-поликлинические учреждения. Врачебный участок.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987"/>
        <w:ind w:left="0" w:firstLine="709"/>
      </w:pPr>
      <w:r>
        <w:t xml:space="preserve">Врач-педиатр участковый, врач общей практики (семейный врач):</w:t>
      </w:r>
      <w:r/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1) осуществляет оказание плановой медицинской помощи детям в  амбулаторных условиях в рамках первичной врачебной медико-санитарной;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2) осуществляет диспансерное наблюдение за детьми с ранее установленными заболеваниями, проводит оценку их состояния; 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3) осуществляет </w:t>
      </w:r>
      <w:r>
        <w:rPr>
          <w:rFonts w:ascii="Times New Roman" w:hAnsi="Times New Roman" w:cs="Times New Roman"/>
          <w:color w:val="auto"/>
          <w:highlight w:val="white"/>
        </w:rPr>
        <w:t xml:space="preserve">контроль за</w:t>
      </w:r>
      <w:r>
        <w:rPr>
          <w:rFonts w:ascii="Times New Roman" w:hAnsi="Times New Roman" w:cs="Times New Roman"/>
          <w:color w:val="auto"/>
          <w:highlight w:val="white"/>
        </w:rPr>
        <w:t xml:space="preserve"> выполнением рекомендаций врачей-специалистов ЛОГБУЗ «ДКБ»;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4) осуществляет направление детей с впервые выявленными или с ранее установленными детскими болезнями по показаниям в плановом порядке на  госпитализацию в педиатрическое отделение стационара (дневной стационар) межрайонной (районной, городской) больницы;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5) п</w:t>
      </w:r>
      <w:r>
        <w:rPr>
          <w:rFonts w:ascii="Times New Roman" w:hAnsi="Times New Roman" w:cs="Times New Roman"/>
          <w:color w:val="auto"/>
        </w:rPr>
        <w:t xml:space="preserve">ри выявлении неотложного состояния у ребенка: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незамедлительно информирует заведующего педиатрическим отделением стационара межрайонной (районной, городской) больницы;</w:t>
      </w:r>
      <w:r/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при необходимости, оказывает неотложную медицинскую помощь;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вызывает бригаду скорой медицинской помощи на себя или обеспечивает доставку ребенка санитарным транспортом (участковой больницы, врачебной амбулатории) с медицинским сопровождением в  ближайшую медицинскую </w:t>
      </w:r>
      <w:r>
        <w:rPr>
          <w:rFonts w:ascii="Times New Roman" w:hAnsi="Times New Roman" w:cs="Times New Roman"/>
          <w:color w:val="auto"/>
        </w:rPr>
        <w:t xml:space="preserve">организацию, имеющую в своем составе педиатрическое отделение и (или) отделение анестезиологии-реанимации (блок (палату) реанимации и интенсивной терапии), обеспечивающие оказание круглосуточной медицинской помощи детям, с учётом тяжести состояния ребенка;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до приезда бригады скорой медицинской помощи ведет мониторинг состояния здоровья ребенка.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 xml:space="preserve">Врач – педиатр, анестезиолог-реаниматолог и (или) педиатр межрайонной (районной, городской) больницы, при наличии у пациента </w:t>
      </w:r>
      <w:r>
        <w:rPr>
          <w:rFonts w:cs="Times New Roman"/>
          <w:color w:val="auto"/>
        </w:rPr>
        <w:t xml:space="preserve">жизнеугрожающего</w:t>
      </w:r>
      <w:r>
        <w:rPr>
          <w:rFonts w:cs="Times New Roman"/>
          <w:color w:val="auto"/>
        </w:rPr>
        <w:t xml:space="preserve"> состояния, по показаниям, обеспечивает его постановку на учёт в отделение экстренной консультативной скорой медицинской помощи (реани</w:t>
      </w:r>
      <w:r>
        <w:rPr>
          <w:rFonts w:cs="Times New Roman"/>
          <w:color w:val="auto"/>
        </w:rPr>
        <w:t xml:space="preserve">мационно-консультативном центре) ЛОГБУЗ «ДКБ» по телефону: 8-812-5422218 и получает консультацию врачей – анестезиолога-реаниматолога и  (или) педиатра в целях определения тактики ведения и дальнейшего лечения, в том числе необходимости перевода пациента в</w:t>
      </w:r>
      <w:r>
        <w:rPr>
          <w:rFonts w:cs="Times New Roman"/>
          <w:color w:val="auto"/>
        </w:rPr>
        <w:t xml:space="preserve"> специализированное отделение ЛОГБУЗ «ДКБ».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6"/>
        <w:contextualSpacing/>
        <w:ind w:firstLine="709"/>
        <w:jc w:val="both"/>
        <w:spacing w:line="25" w:lineRule="atLeast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6"/>
        <w:contextualSpacing/>
        <w:ind w:firstLine="709"/>
        <w:jc w:val="center"/>
        <w:spacing w:line="25" w:lineRule="atLeast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/>
      <w:bookmarkStart w:id="6" w:name="_Hlk238812466"/>
      <w:r>
        <w:rPr>
          <w:rFonts w:ascii="Times New Roman" w:hAnsi="Times New Roman" w:cs="Times New Roman"/>
          <w:b/>
          <w:bCs/>
          <w:sz w:val="28"/>
          <w:szCs w:val="28"/>
        </w:rPr>
        <w:t xml:space="preserve">Скорая, в том числе скорая специализированная, медицинская помощь</w:t>
      </w:r>
      <w:bookmarkEnd w:id="6"/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86"/>
        <w:contextualSpacing/>
        <w:ind w:firstLine="709"/>
        <w:jc w:val="center"/>
        <w:spacing w:line="25" w:lineRule="atLeast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Скорая, в том числ</w:t>
      </w:r>
      <w:r>
        <w:rPr>
          <w:rFonts w:cs="Times New Roman"/>
          <w:color w:val="auto"/>
        </w:rPr>
        <w:t xml:space="preserve">е скорая специализированная, медицинская помощь в Ленинградской области организуется в соответствии с приказом Минздрава России от 20 июня 2013 года № 388н «Об утверждении Порядка оказания скорой, в том числе скорой специализированной, медицинской помощи».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Скорая специализированная медицинская помощь, в том числе медицинская эвакуация, в Ленинградской области оказывается: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1) вне медицинской организации – специализированными выездными бригадами скорой медицинской помощи 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2)</w:t>
      </w:r>
      <w:r>
        <w:rPr>
          <w:rFonts w:ascii="Times New Roman" w:hAnsi="Times New Roman" w:cs="Times New Roman"/>
          <w:color w:val="auto"/>
        </w:rPr>
        <w:t xml:space="preserve"> в условиях круглосуточного стационара и дл</w:t>
      </w:r>
      <w:r>
        <w:rPr>
          <w:rFonts w:ascii="Times New Roman" w:hAnsi="Times New Roman" w:cs="Times New Roman"/>
          <w:color w:val="auto"/>
        </w:rPr>
        <w:t xml:space="preserve">я медицинской эвакуации, в  том числе из медицинских организаций, в которых отсутствует возможность оказания необходимой медицинской помощи – выездными бригадами отделения экстренной консультативной скорой медицинской помощи (далее – ОЭКСМП) ЛОГБУЗ «ДКБ». 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В случае отсутствия возможности направить для оказания медицинской помощи специализированной бригады, в целях обеспечения своевременного оказания медицинской помощи вне медицинской организации может быть направлена </w:t>
      </w:r>
      <w:r>
        <w:rPr>
          <w:rFonts w:cs="Times New Roman"/>
          <w:color w:val="auto"/>
        </w:rPr>
        <w:t xml:space="preserve">общепрофильная</w:t>
      </w:r>
      <w:r>
        <w:rPr>
          <w:rFonts w:cs="Times New Roman"/>
          <w:color w:val="auto"/>
        </w:rPr>
        <w:t xml:space="preserve"> выездная бригада скорой медицинской помощи.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оказании скорой специализированной медицинской помощи в  течение всего периода медицинской эвакуации проводится непрерывный мониторинг частоты сердечных сокращений, дыхания и температуры тела, а  также </w:t>
      </w:r>
      <w:r>
        <w:rPr>
          <w:rFonts w:cs="Times New Roman"/>
          <w:color w:val="auto"/>
        </w:rPr>
        <w:t xml:space="preserve">пульсоксиметрия</w:t>
      </w:r>
      <w:r>
        <w:rPr>
          <w:rFonts w:cs="Times New Roman"/>
          <w:color w:val="auto"/>
        </w:rPr>
        <w:t xml:space="preserve">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6"/>
        <w:contextualSpacing/>
        <w:ind w:firstLine="709"/>
        <w:jc w:val="center"/>
        <w:spacing w:line="25" w:lineRule="atLeast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6"/>
        <w:contextualSpacing/>
        <w:ind w:firstLine="709"/>
        <w:jc w:val="center"/>
        <w:spacing w:line="25" w:lineRule="atLeast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Специализированная, в том числе высокотехнологичная, медицинская помощь в стационарных условиях.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86"/>
        <w:contextualSpacing/>
        <w:ind w:firstLine="709"/>
        <w:jc w:val="center"/>
        <w:spacing w:line="25" w:lineRule="atLeast"/>
        <w:tabs>
          <w:tab w:val="left" w:pos="851" w:leader="none"/>
          <w:tab w:val="left" w:pos="993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Специализированная, в том</w:t>
      </w:r>
      <w:r>
        <w:rPr>
          <w:rFonts w:cs="Times New Roman"/>
          <w:color w:val="auto"/>
        </w:rPr>
        <w:t xml:space="preserve"> числе высокотехнологичная, медицинская помощь детям с соматическими заболеваниями в Ленинградской области оказывается в медицинских организациях, подведомственных Комитету по здравоохранению Ленинградской области, в соответствии с приказом Минздрава Росси</w:t>
      </w:r>
      <w:r>
        <w:rPr>
          <w:rFonts w:cs="Times New Roman"/>
          <w:color w:val="auto"/>
        </w:rPr>
        <w:t xml:space="preserve">и от 11 апреля 2025 года № 185н «Об утверждении положения об организации специализированной, в том числе высокотехнологичной, медицинской помощи» (вместе с «Положением об организации оказания специализированной, в том числе высокотехнологичной, медицинской</w:t>
      </w:r>
      <w:r>
        <w:rPr>
          <w:rFonts w:cs="Times New Roman"/>
          <w:color w:val="auto"/>
        </w:rPr>
        <w:t xml:space="preserve"> помощи») и приказом Минздрава России от 11 апреля 2025 год</w:t>
      </w:r>
      <w:r>
        <w:rPr>
          <w:rFonts w:cs="Times New Roman"/>
          <w:color w:val="auto"/>
        </w:rPr>
        <w:t xml:space="preserve">а</w:t>
      </w:r>
      <w:bookmarkStart w:id="7" w:name="_GoBack"/>
      <w:r/>
      <w:bookmarkEnd w:id="7"/>
      <w:r>
        <w:rPr>
          <w:rFonts w:cs="Times New Roman"/>
          <w:color w:val="auto"/>
        </w:rPr>
        <w:t xml:space="preserve"> №186н «Об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Первичная специализированная медико-санитарная помощь оказывается врачами-специалистами, в том числе оказывающими специализированную, в том числе высокотехнологичную, медицинскую помощь.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наличии медицинских показаний к оказанию первичной специализированной медико-санитарной помощи врачи-педиатры, врачи-педиатры </w:t>
      </w:r>
      <w:r>
        <w:rPr>
          <w:rFonts w:cs="Times New Roman"/>
          <w:color w:val="auto"/>
        </w:rPr>
        <w:t xml:space="preserve">участк</w:t>
      </w:r>
      <w:r>
        <w:rPr>
          <w:rFonts w:cs="Times New Roman"/>
          <w:color w:val="auto"/>
        </w:rPr>
        <w:t xml:space="preserve">овые, врачи общей практики (семейные врачи) или фельдшер направляют детей к врачам-специалистам медицинских организаций по специальностям, предусмотренным номенклатурой специальностей специалистов, имеющих высшее медицинское и фармацевтическое образование.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Специализированная медицинская помощь детям с соматическими заболеваниями в стационарных условиях в медицинских организациях Ленинградской области 1 и 2 группы оказывается в отделениях (на койках) педиатрии в плановой, неотложной и экстренной формах.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возникновении острых, развитии </w:t>
      </w:r>
      <w:r>
        <w:rPr>
          <w:rFonts w:cs="Times New Roman"/>
          <w:color w:val="auto"/>
        </w:rPr>
        <w:t xml:space="preserve">жизнеугрожающих</w:t>
      </w:r>
      <w:r>
        <w:rPr>
          <w:rFonts w:cs="Times New Roman"/>
          <w:color w:val="auto"/>
        </w:rPr>
        <w:t xml:space="preserve"> состояний пациент незамедлительно госпитализируется в медицинскую организацию, имеющу</w:t>
      </w:r>
      <w:r>
        <w:rPr>
          <w:rFonts w:cs="Times New Roman"/>
          <w:color w:val="auto"/>
        </w:rPr>
        <w:t xml:space="preserve">ю в своем составе отделение/койки реанимации и  интенсивной терапии (медицинские организации 1, 2 группы). О  поступлении ребенка в отделение реанимации медицинской организации незамедлительно информируется дежурный реаниматолог ОЭКСМП ЛОГБУЗ «ДКБ». Дальне</w:t>
      </w:r>
      <w:r>
        <w:rPr>
          <w:rFonts w:cs="Times New Roman"/>
          <w:color w:val="auto"/>
        </w:rPr>
        <w:t xml:space="preserve">йшая маршрутизация пациента определяется в соответствии с  профилем заболевания, тяжестью состояния. При наличии показаний к  медицинской эвакуации перевод осуществляется: при отсутствии инфекционного заболевания – отделение реанимации ЛОГБУЗ «ДКБ», ФГБОУ </w:t>
      </w:r>
      <w:r>
        <w:rPr>
          <w:rFonts w:cs="Times New Roman"/>
          <w:color w:val="auto"/>
        </w:rPr>
        <w:t xml:space="preserve">СПбГПМУ</w:t>
      </w:r>
      <w:r>
        <w:rPr>
          <w:rFonts w:cs="Times New Roman"/>
          <w:color w:val="auto"/>
        </w:rPr>
        <w:t xml:space="preserve"> МЗ РФ, другие медицинские организации по согласованию. При  наличии инфекционного заболевания ФГБОУ </w:t>
      </w:r>
      <w:r>
        <w:rPr>
          <w:rFonts w:cs="Times New Roman"/>
          <w:color w:val="auto"/>
        </w:rPr>
        <w:t xml:space="preserve">СПбГПМУ</w:t>
      </w:r>
      <w:r>
        <w:rPr>
          <w:rFonts w:cs="Times New Roman"/>
          <w:color w:val="auto"/>
        </w:rPr>
        <w:t xml:space="preserve"> МЗ РФ, ФГБУ ФНКЦИБ ФМБА России, другие медицинские организации по согласованию.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bCs/>
          <w:color w:val="auto"/>
          <w:lang w:eastAsia="ru-RU"/>
        </w:rPr>
        <w:t xml:space="preserve">В случае потребности в оказании специализированной, в том числе высокотехнологичной медицинской помощи, пациент</w:t>
      </w:r>
      <w:r>
        <w:rPr>
          <w:rFonts w:cs="Times New Roman"/>
          <w:color w:val="auto"/>
          <w:lang w:eastAsia="ru-RU"/>
        </w:rPr>
        <w:t xml:space="preserve"> направляется врачами-педиатрами и врачами-специалистами, в медицинские организации третьего уровня (приложение № 2 к настоящему приказу) или в федераль</w:t>
      </w:r>
      <w:r>
        <w:rPr>
          <w:rFonts w:cs="Times New Roman"/>
          <w:color w:val="auto"/>
          <w:lang w:eastAsia="ru-RU"/>
        </w:rPr>
        <w:t xml:space="preserve">ные медицинские организации в соответствии с Порядком об организации оказания специализированной, в том числе высокотехнологичной, медицинской помощи, утвержденным приказом Министерства здравоохранения Российской Федерации от 11 апреля 2025 года № 185н, и </w:t>
      </w:r>
      <w:hyperlink r:id="rId30" w:tooltip="https://normativ.kontur.ru/document?moduleId=1&amp;documentId=500432#h104" w:anchor="h104" w:history="1">
        <w:r>
          <w:rPr>
            <w:rFonts w:cs="Times New Roman"/>
            <w:color w:val="auto"/>
            <w:lang w:eastAsia="ru-RU"/>
          </w:rPr>
          <w:t xml:space="preserve">Порядком</w:t>
        </w:r>
      </w:hyperlink>
      <w:r>
        <w:rPr>
          <w:rFonts w:cs="Times New Roman"/>
          <w:color w:val="auto"/>
          <w:lang w:eastAsia="ru-RU"/>
        </w:rPr>
        <w:t xml:space="preserve"> организации оказания высокотехнологичной медицинской помощи с  применением единой государственной информационной системы в сфере здравоохранения, утвержденным приказом Министерства здравоохранения Российской Федерации от 11 апреля 2025 года № 186н.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наличии показаний дети с соматическими заболеваниями в  плановой и неотложной форме госпитализируются по направлению из  медицинс</w:t>
      </w:r>
      <w:r>
        <w:rPr>
          <w:rFonts w:cs="Times New Roman"/>
          <w:color w:val="auto"/>
        </w:rPr>
        <w:t xml:space="preserve">кой организации по месту жительства или переводятся из  медицинской организации 1 и 2 группы для обследования и лечения в  ЛОГБУЗ «ДКБ» в отделения по профилю заболевания: педиатрическое, пульмонологическое, детское психоневрологическое в соответствии с  П</w:t>
      </w:r>
      <w:r>
        <w:rPr>
          <w:rFonts w:cs="Times New Roman"/>
          <w:color w:val="auto"/>
          <w:highlight w:val="white"/>
        </w:rPr>
        <w:t xml:space="preserve">равилами направления пациентов для оказания первичной специализированной и специализированной медицинской помощи</w:t>
      </w:r>
      <w:r>
        <w:rPr>
          <w:rFonts w:cs="Times New Roman"/>
          <w:color w:val="auto"/>
          <w:highlight w:val="white"/>
        </w:rPr>
        <w:t xml:space="preserve"> в</w:t>
      </w:r>
      <w:r>
        <w:rPr>
          <w:rFonts w:cs="Times New Roman"/>
          <w:color w:val="auto"/>
        </w:rPr>
        <w:t xml:space="preserve"> ЛОГБУЗ «ДКБ», утвержде</w:t>
      </w:r>
      <w:r>
        <w:rPr>
          <w:rFonts w:cs="Times New Roman"/>
          <w:color w:val="auto"/>
        </w:rPr>
        <w:t xml:space="preserve">нным</w:t>
      </w:r>
      <w:r>
        <w:rPr>
          <w:rFonts w:cs="Times New Roman"/>
          <w:color w:val="auto"/>
        </w:rPr>
        <w:t xml:space="preserve">и</w:t>
      </w:r>
      <w:r>
        <w:rPr>
          <w:rFonts w:cs="Times New Roman"/>
          <w:color w:val="auto"/>
        </w:rPr>
        <w:t xml:space="preserve"> распоряжением Комитета по  здравоохранению</w:t>
      </w:r>
      <w:r>
        <w:rPr>
          <w:rFonts w:cs="Times New Roman"/>
          <w:color w:val="auto"/>
        </w:rPr>
        <w:t xml:space="preserve"> Ленинградской области от 20 января </w:t>
      </w:r>
      <w:r>
        <w:rPr>
          <w:rFonts w:cs="Times New Roman"/>
          <w:color w:val="auto"/>
        </w:rPr>
        <w:t xml:space="preserve">2017</w:t>
      </w:r>
      <w:r>
        <w:rPr>
          <w:rFonts w:cs="Times New Roman"/>
          <w:color w:val="auto"/>
        </w:rPr>
        <w:t xml:space="preserve"> года</w:t>
      </w:r>
      <w:r>
        <w:rPr>
          <w:rFonts w:cs="Times New Roman"/>
          <w:color w:val="auto"/>
        </w:rPr>
        <w:t xml:space="preserve"> № 36-о. 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Направление пациентов детского возраста с соматическими заболеваниями из медицинских учреждений Ленинградской области 1, 2 и 3 группы </w:t>
      </w:r>
      <w:r>
        <w:rPr>
          <w:rFonts w:cs="Times New Roman"/>
          <w:color w:val="auto"/>
        </w:rPr>
        <w:t xml:space="preserve">для оказания специализированной медицинской помощи в  Федеральных медицинских организациях осуществляется по показаниям в  соответствии с при</w:t>
      </w:r>
      <w:r>
        <w:rPr>
          <w:rFonts w:cs="Times New Roman"/>
          <w:color w:val="auto"/>
        </w:rPr>
        <w:t xml:space="preserve">казом Минздрава России от 23 декабря </w:t>
      </w:r>
      <w:r>
        <w:rPr>
          <w:rFonts w:cs="Times New Roman"/>
          <w:color w:val="auto"/>
        </w:rPr>
        <w:t xml:space="preserve">2020 </w:t>
      </w:r>
      <w:r>
        <w:rPr>
          <w:rFonts w:cs="Times New Roman"/>
          <w:color w:val="auto"/>
        </w:rPr>
        <w:t xml:space="preserve">года </w:t>
      </w:r>
      <w:r>
        <w:rPr>
          <w:rFonts w:cs="Times New Roman"/>
          <w:color w:val="auto"/>
        </w:rPr>
        <w:t xml:space="preserve">№ 1363н «Об  утверждении Порядка направления застрахованных лиц в медицинские организации, функции и полномочия </w:t>
      </w:r>
      <w:r>
        <w:rPr>
          <w:rFonts w:cs="Times New Roman"/>
          <w:color w:val="auto"/>
        </w:rPr>
        <w:t xml:space="preserve">учредителей</w:t>
      </w:r>
      <w:r>
        <w:rPr>
          <w:rFonts w:cs="Times New Roman"/>
          <w:color w:val="auto"/>
        </w:rPr>
        <w:t xml:space="preserve"> в отношении которых осуществляют Правительство Российской Федерации или федеральные органы исполнительной власти, для оказания медицинской помощи в соответствии с едиными требованиями базовой программы обязательного медицинского страхования».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Регламент проведения телемедицинских консультаций.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необходимости устано</w:t>
      </w:r>
      <w:r>
        <w:rPr>
          <w:rFonts w:cs="Times New Roman"/>
          <w:color w:val="auto"/>
        </w:rPr>
        <w:t xml:space="preserve">вления заключительного (уточненного) диагноза, в связи с тяжестью течения заболевания, отсутствием клинического эффекта от ранее проводимой терапии и (или) повторных курсов лечения при вероятной эффективности других методов лечения, необходимости оказания </w:t>
      </w:r>
      <w:r>
        <w:rPr>
          <w:rFonts w:cs="Times New Roman"/>
          <w:color w:val="auto"/>
        </w:rPr>
        <w:t xml:space="preserve">специализированной медицинской помощи или в связи с развитием осложнения заболевания, сопутствующими заболеваниями, а также в иных необходимых случаях пациенту необходимо организовать консультации (консилиум врачей) с применением телемедицинских технологий</w:t>
      </w:r>
      <w:r>
        <w:rPr>
          <w:rFonts w:cs="Times New Roman"/>
          <w:color w:val="auto"/>
        </w:rPr>
        <w:t xml:space="preserve"> в соответствии с </w:t>
      </w:r>
      <w:hyperlink r:id="rId31" w:tooltip="https://normativ.kontur.ru/document?moduleId=1&amp;documentId=494868#h4" w:anchor="h4" w:history="1">
        <w:r>
          <w:rPr>
            <w:rFonts w:cs="Times New Roman"/>
            <w:color w:val="auto"/>
          </w:rPr>
          <w:t xml:space="preserve">Порядком</w:t>
        </w:r>
      </w:hyperlink>
      <w:r>
        <w:rPr>
          <w:rFonts w:cs="Times New Roman"/>
          <w:color w:val="auto"/>
        </w:rPr>
        <w:t xml:space="preserve"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11 апреля 2025 года № 193н.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b/>
          <w:bCs/>
          <w:color w:val="auto"/>
          <w:lang w:eastAsia="ru-RU"/>
        </w:rPr>
      </w:pPr>
      <w:r>
        <w:rPr>
          <w:rFonts w:cs="Times New Roman"/>
          <w:b/>
          <w:color w:val="auto"/>
          <w:lang w:eastAsia="ru-RU"/>
        </w:rPr>
        <w:t xml:space="preserve"> </w:t>
      </w:r>
      <w:r>
        <w:rPr>
          <w:rFonts w:cs="Times New Roman"/>
          <w:b/>
          <w:bCs/>
          <w:color w:val="auto"/>
          <w:lang w:eastAsia="ru-RU"/>
        </w:rPr>
      </w:r>
      <w:r>
        <w:rPr>
          <w:rFonts w:cs="Times New Roman"/>
          <w:b/>
          <w:bCs/>
          <w:color w:val="auto"/>
          <w:lang w:eastAsia="ru-RU"/>
        </w:rPr>
      </w:r>
    </w:p>
    <w:p>
      <w:pPr>
        <w:jc w:val="center"/>
        <w:rPr>
          <w:b/>
          <w:bCs/>
          <w:iCs/>
          <w:szCs w:val="28"/>
          <w:lang w:eastAsia="ru-RU"/>
        </w:rPr>
      </w:pPr>
      <w:r>
        <w:rPr>
          <w:b/>
          <w:bCs/>
          <w:iCs/>
          <w:szCs w:val="28"/>
          <w:lang w:eastAsia="ru-RU"/>
        </w:rPr>
        <w:t xml:space="preserve">Организация диспансерного наблюдения</w:t>
      </w:r>
      <w:r>
        <w:rPr>
          <w:b/>
          <w:bCs/>
          <w:iCs/>
          <w:szCs w:val="28"/>
          <w:lang w:eastAsia="ru-RU"/>
        </w:rPr>
      </w:r>
      <w:r>
        <w:rPr>
          <w:b/>
          <w:bCs/>
          <w:iCs/>
          <w:szCs w:val="28"/>
          <w:lang w:eastAsia="ru-RU"/>
        </w:rPr>
      </w:r>
    </w:p>
    <w:p>
      <w:pPr>
        <w:jc w:val="center"/>
        <w:rPr>
          <w:b/>
          <w:bCs/>
          <w:i/>
          <w:szCs w:val="28"/>
        </w:rPr>
      </w:pPr>
      <w:r>
        <w:rPr>
          <w:b/>
          <w:bCs/>
          <w:i/>
          <w:szCs w:val="28"/>
        </w:rPr>
      </w:r>
      <w:r>
        <w:rPr>
          <w:b/>
          <w:bCs/>
          <w:i/>
          <w:szCs w:val="28"/>
        </w:rPr>
      </w:r>
      <w:r>
        <w:rPr>
          <w:b/>
          <w:bCs/>
          <w:i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После оказания специализированной, в том числе высокотехнологичной, медицинской помощи по профилю «педиат</w:t>
      </w:r>
      <w:r>
        <w:rPr>
          <w:rFonts w:cs="Times New Roman"/>
          <w:color w:val="auto"/>
          <w:lang w:eastAsia="ru-RU"/>
        </w:rPr>
        <w:t xml:space="preserve">рия» в  стационарных условиях, дальнейшее диспансерное наблюдение должно быть организовано врачом педиатром участковым по месту жительства, а в при наличии медицинских показания длительное динамическое наблюдение ребенка в условиях медицинской организации </w:t>
      </w:r>
      <w:r>
        <w:rPr>
          <w:rFonts w:cs="Times New Roman"/>
          <w:color w:val="auto"/>
          <w:lang w:val="en-US" w:eastAsia="ru-RU"/>
        </w:rPr>
        <w:t xml:space="preserve">II</w:t>
      </w:r>
      <w:r>
        <w:rPr>
          <w:rFonts w:cs="Times New Roman"/>
          <w:color w:val="auto"/>
          <w:lang w:eastAsia="ru-RU"/>
        </w:rPr>
        <w:t xml:space="preserve"> и </w:t>
      </w:r>
      <w:r>
        <w:rPr>
          <w:rFonts w:cs="Times New Roman"/>
          <w:color w:val="auto"/>
          <w:lang w:val="en-US" w:eastAsia="ru-RU"/>
        </w:rPr>
        <w:t xml:space="preserve">III</w:t>
      </w:r>
      <w:r>
        <w:rPr>
          <w:rFonts w:cs="Times New Roman"/>
          <w:color w:val="auto"/>
          <w:lang w:eastAsia="ru-RU"/>
        </w:rPr>
        <w:t xml:space="preserve"> уровня</w:t>
      </w:r>
      <w:r>
        <w:rPr>
          <w:rFonts w:cs="Times New Roman"/>
          <w:color w:val="auto"/>
        </w:rPr>
        <w:t xml:space="preserve">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Диспансерно</w:t>
      </w:r>
      <w:r>
        <w:rPr>
          <w:rFonts w:cs="Times New Roman"/>
          <w:color w:val="auto"/>
        </w:rPr>
        <w:t xml:space="preserve">е наблюдение организуется в соответствии с приказом Минздрава России от 11 апреля 2025 года № 192н «Об утверждении порядка прохождения несовершеннолетними диспансерного наблюдения, в том числе в период обучения и воспитания в образовательных организациях».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Медицинская реабилитация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Медицинская реабилитация детей в Ленинградской области осуществляется в соответствии с прика</w:t>
      </w:r>
      <w:r>
        <w:rPr>
          <w:rFonts w:cs="Times New Roman"/>
          <w:color w:val="auto"/>
        </w:rPr>
        <w:t xml:space="preserve">зом Минздрава России от 23 октября 2019 года №878н «Об утверждении Порядка организации медицинской реабилитации детей», Постановлением Правительства Ленинградской области от 30 декабря 2025 года № 1143 «О Территориальной программе государственных гарантий </w:t>
      </w:r>
      <w:r>
        <w:rPr>
          <w:rFonts w:cs="Times New Roman"/>
          <w:color w:val="auto"/>
        </w:rPr>
        <w:t xml:space="preserve">бесплатного оказания гражданам медицинской помощи в Ленинградской области на 2026 год и на плановый период 2027 и 2028 годов</w:t>
      </w:r>
      <w:r>
        <w:rPr>
          <w:rFonts w:cs="Times New Roman"/>
          <w:color w:val="auto"/>
        </w:rPr>
        <w:t xml:space="preserve">», </w:t>
      </w:r>
      <w:r>
        <w:rPr>
          <w:rFonts w:cs="Times New Roman"/>
          <w:color w:val="auto"/>
          <w:highlight w:val="white"/>
        </w:rPr>
        <w:t xml:space="preserve">распоряжением Комитета по  здравоохранению Ленинградской области от 24 марта 2022 года № 200-о «О  медицинской реабилитации детей в Ленинградской области» (с перечнем медицинских организаций, оказывающих медицинскую помощь з</w:t>
      </w:r>
      <w:r>
        <w:rPr>
          <w:rFonts w:cs="Times New Roman"/>
          <w:color w:val="auto"/>
        </w:rPr>
        <w:t xml:space="preserve">а счет средств обязательного медицинского страхования на всех этапах, и маршрутизацией пациентов с учетом локализации и степени тяжести нарушенных функций (уровень </w:t>
      </w:r>
      <w:r>
        <w:rPr>
          <w:rFonts w:cs="Times New Roman"/>
          <w:color w:val="auto"/>
        </w:rPr>
        <w:t xml:space="preserve">курации</w:t>
      </w:r>
      <w:r>
        <w:rPr>
          <w:rFonts w:cs="Times New Roman"/>
          <w:color w:val="auto"/>
        </w:rPr>
        <w:t xml:space="preserve">) и распоряжением Комитета по  здравоохранению Ленинградской области от 31 мая 2023 года</w:t>
      </w:r>
      <w:r>
        <w:rPr>
          <w:rFonts w:cs="Times New Roman"/>
          <w:color w:val="auto"/>
        </w:rPr>
        <w:t xml:space="preserve"> № 338-о «Организация медицинской реабилитации на дому».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Медицинская реабилитация детей на первом этапе осуществляется в острый период, в стадии обострения (рецидива) основного заболевания или острый период травмы, послеоперационный период специалистами </w:t>
      </w:r>
      <w:r>
        <w:rPr>
          <w:rFonts w:cs="Times New Roman"/>
          <w:color w:val="auto"/>
        </w:rPr>
        <w:t xml:space="preserve">мультидисциплинарной</w:t>
      </w:r>
      <w:r>
        <w:rPr>
          <w:rFonts w:cs="Times New Roman"/>
          <w:color w:val="auto"/>
        </w:rPr>
        <w:t xml:space="preserve"> реабилитационной команды (далее – МРК) отделения медицинской реабилитации для детей ЛОГБУЗ «ДКБ»: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1) при V уровне </w:t>
      </w:r>
      <w:r>
        <w:rPr>
          <w:rFonts w:ascii="Times New Roman" w:hAnsi="Times New Roman" w:cs="Times New Roman"/>
          <w:color w:val="auto"/>
          <w:highlight w:val="white"/>
        </w:rPr>
        <w:t xml:space="preserve">курации</w:t>
      </w:r>
      <w:r>
        <w:rPr>
          <w:rFonts w:ascii="Times New Roman" w:hAnsi="Times New Roman" w:cs="Times New Roman"/>
          <w:color w:val="auto"/>
          <w:highlight w:val="white"/>
        </w:rPr>
        <w:t xml:space="preserve"> – в стационарных условиях отделения анестезиологии-реанимации или палат реанимации и интенсивной терапии ЛОГБУЗ «ДКБ» по профилю заболевания; 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2) п</w:t>
      </w:r>
      <w:r>
        <w:rPr>
          <w:rFonts w:ascii="Times New Roman" w:hAnsi="Times New Roman" w:cs="Times New Roman"/>
          <w:color w:val="auto"/>
        </w:rPr>
        <w:t xml:space="preserve">ри IV уровне </w:t>
      </w:r>
      <w:r>
        <w:rPr>
          <w:rFonts w:ascii="Times New Roman" w:hAnsi="Times New Roman" w:cs="Times New Roman"/>
          <w:color w:val="auto"/>
        </w:rPr>
        <w:t xml:space="preserve">курации</w:t>
      </w:r>
      <w:r>
        <w:rPr>
          <w:rFonts w:ascii="Times New Roman" w:hAnsi="Times New Roman" w:cs="Times New Roman"/>
          <w:color w:val="auto"/>
        </w:rPr>
        <w:t xml:space="preserve"> – в стационарных условиях профильных отделений ЛОГБУЗ «ДКБ»;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3)</w:t>
      </w:r>
      <w:r>
        <w:rPr>
          <w:rFonts w:ascii="Times New Roman" w:hAnsi="Times New Roman" w:cs="Times New Roman"/>
          <w:color w:val="auto"/>
        </w:rPr>
        <w:t xml:space="preserve"> при хроническом течении основного заболевания вне обострения при IV, III уровнях </w:t>
      </w:r>
      <w:r>
        <w:rPr>
          <w:rFonts w:ascii="Times New Roman" w:hAnsi="Times New Roman" w:cs="Times New Roman"/>
          <w:color w:val="auto"/>
        </w:rPr>
        <w:t xml:space="preserve">курации</w:t>
      </w:r>
      <w:r>
        <w:rPr>
          <w:rFonts w:ascii="Times New Roman" w:hAnsi="Times New Roman" w:cs="Times New Roman"/>
          <w:color w:val="auto"/>
        </w:rPr>
        <w:t xml:space="preserve"> - в стационарных условиях специалистами МРК отделения медицинской реабилитации для детей с соматическими заболеваниями ЛОГБУЗ «ДКБ».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Медицинская реабилитация детей на втором этапе осуществляется после окончания острого (подострого) периода заболевания, 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</w:pPr>
      <w:r>
        <w:t xml:space="preserve">Медицинская реабилитация детей на третьем этапе осуществляется в медицинских организациях, оказывающих первичную медико-санитарную помощь, в соответствии с положением об организации оказания первичной медико-санитарной помощи детям, утвержденным </w:t>
      </w:r>
      <w:r>
        <w:rPr>
          <w:rFonts w:cs="Times New Roman"/>
          <w:color w:val="auto"/>
        </w:rPr>
        <w:t xml:space="preserve">приказом Минздрава России от 27 мая 2025 года № 313н.</w:t>
      </w:r>
      <w:r/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Направление на другие виды реабилитации, в том числе в рамках реализации Концепции развития ранней помощи в Российской Федерации, осуществляет врач-педиатр отделения </w:t>
      </w:r>
      <w:r>
        <w:rPr>
          <w:rFonts w:cs="Times New Roman"/>
          <w:color w:val="auto"/>
        </w:rPr>
        <w:t xml:space="preserve">медико-социальной</w:t>
      </w:r>
      <w:r>
        <w:rPr>
          <w:rFonts w:cs="Times New Roman"/>
          <w:color w:val="auto"/>
        </w:rPr>
        <w:t xml:space="preserve"> помощи детской поликлиники (детского поликлинического отделения), к которой прикреплен ребенок, в соответствии с рекомендациями, указанными в выписном эпикризе из медицинской организации, осуществляющей медицинскую реабилитацию детям.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Паллиативная медицинская помощь.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  <w:highlight w:val="white"/>
        </w:rPr>
      </w:pPr>
      <w:r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 xml:space="preserve">Присваивание статуса, наблюдение и направление на  госпитализацию детей, нуждающихся в паллиативной медицинской помощи, осуществляется в соответствии с Приказом Минздрава России </w:t>
      </w:r>
      <w:r>
        <w:rPr>
          <w:rFonts w:cs="Times New Roman"/>
          <w:color w:val="auto"/>
          <w:highlight w:val="white"/>
        </w:rPr>
        <w:t xml:space="preserve">№ 208н, Минтруда России № </w:t>
      </w:r>
      <w:r>
        <w:rPr>
          <w:rFonts w:cs="Times New Roman"/>
          <w:color w:val="auto"/>
        </w:rPr>
        <w:t xml:space="preserve">243н от 14 апреля 2025 года «Об утверждении Положения об  организации оказания </w:t>
      </w:r>
      <w:r>
        <w:rPr>
          <w:rFonts w:cs="Times New Roman"/>
          <w:color w:val="auto"/>
        </w:rPr>
        <w:t xml:space="preserve">палл</w:t>
      </w:r>
      <w:r>
        <w:rPr>
          <w:rFonts w:cs="Times New Roman"/>
          <w:color w:val="auto"/>
        </w:rPr>
        <w:t xml:space="preserve">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здоровья», постановлением</w:t>
      </w:r>
      <w:r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 xml:space="preserve">Правительства Ленинградской области от 30 декабря 2025 года № 1143 «О Территориальной программе государственных гарантий бесплатного оказания гражданам медицинской помощи в Ленинградской области на  2026  год и на плановый </w:t>
      </w:r>
      <w:r>
        <w:rPr>
          <w:rFonts w:cs="Times New Roman"/>
          <w:color w:val="auto"/>
        </w:rPr>
        <w:t xml:space="preserve">период 2027 и 2028 годов», постановлением Правительства Ленинградской области от 19 марта 2024 года № 187 «Об утверждении региональной программы «Развитие системы оказания паллиативной медицинской помощи в Ленинградской области» и признании утратившим силу</w:t>
      </w:r>
      <w:r>
        <w:rPr>
          <w:rFonts w:cs="Times New Roman"/>
          <w:color w:val="auto"/>
        </w:rPr>
        <w:t xml:space="preserve"> постановления Правительства Ленинградской области от 17 марта 2020 года № 125»</w:t>
      </w:r>
      <w:r>
        <w:rPr>
          <w:rFonts w:cs="Times New Roman"/>
          <w:color w:val="auto"/>
          <w:highlight w:val="white"/>
        </w:rPr>
        <w:t xml:space="preserve">, </w:t>
      </w:r>
      <w:r>
        <w:rPr>
          <w:rFonts w:cs="Times New Roman"/>
          <w:color w:val="auto"/>
          <w:highlight w:val="white"/>
        </w:rPr>
        <w:t xml:space="preserve">р</w:t>
      </w:r>
      <w:r>
        <w:rPr>
          <w:rFonts w:cs="Times New Roman"/>
          <w:color w:val="auto"/>
          <w:highlight w:val="white"/>
        </w:rPr>
        <w:t xml:space="preserve">аспоряжением Комитета по здравоохранению Ленинградской области от 11 марта 2021 года №194-о «О совершенствовании организации оказания паллиативной </w:t>
      </w:r>
      <w:r>
        <w:rPr>
          <w:rFonts w:cs="Times New Roman"/>
          <w:color w:val="auto"/>
          <w:highlight w:val="white"/>
        </w:rPr>
        <w:t xml:space="preserve">ме</w:t>
      </w:r>
      <w:r/>
      <w:r>
        <w:rPr>
          <w:rFonts w:cs="Times New Roman"/>
          <w:color w:val="auto"/>
          <w:highlight w:val="white"/>
        </w:rPr>
        <w:t xml:space="preserve">дицинской помощи  детям в  Ленинградской области».</w:t>
      </w:r>
      <w:r>
        <w:rPr>
          <w:rFonts w:cs="Times New Roman"/>
          <w:color w:val="auto"/>
          <w:highlight w:val="white"/>
        </w:rPr>
      </w:r>
      <w:r>
        <w:rPr>
          <w:rFonts w:cs="Times New Roman"/>
          <w:color w:val="auto"/>
          <w:highlight w:val="white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highlight w:val="white"/>
        </w:rPr>
        <w:t xml:space="preserve">При наличии медицин</w:t>
      </w:r>
      <w:r>
        <w:rPr>
          <w:rFonts w:cs="Times New Roman"/>
          <w:color w:val="auto"/>
        </w:rPr>
        <w:t xml:space="preserve">ских показаний для оказания паллиативной специализированной медицинской помощи дети направляются в ГАУЗ ЛО «Детский хоспис».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При направлении ребенка, нуждающегося в оказании паллиативной медицинской помощи, в ГАУЗ </w:t>
      </w:r>
      <w:r>
        <w:rPr>
          <w:rFonts w:cs="Times New Roman"/>
          <w:color w:val="auto"/>
          <w:highlight w:val="white"/>
        </w:rPr>
        <w:t xml:space="preserve">ЛО</w:t>
      </w:r>
      <w:r>
        <w:rPr>
          <w:rFonts w:cs="Times New Roman"/>
          <w:color w:val="auto"/>
        </w:rPr>
        <w:t xml:space="preserve"> «Детский хоспис», оформляется выписка из  ме</w:t>
      </w:r>
      <w:r>
        <w:rPr>
          <w:rFonts w:cs="Times New Roman"/>
          <w:color w:val="auto"/>
        </w:rPr>
        <w:t xml:space="preserve">дицинской документации (истории развития ребенка, медицинской карты стационарного больного), с указанием диагноза, результатов клинических, лабораторных и инструментальных исследований, рекомендаций по  диагностике и лечению, иным медицинским мероприятиям;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rPr>
          <w:b/>
          <w:bCs/>
          <w:szCs w:val="28"/>
        </w:rPr>
      </w:pPr>
      <w:r>
        <w:rPr>
          <w:b/>
          <w:bCs/>
          <w:szCs w:val="28"/>
        </w:rPr>
        <w:t xml:space="preserve">Взаимодействие с медицинскими организациями, оказывающими медицинскую помощь по профилю «Инфекционные болезни».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eastAsia="Calibri" w:cs="Times New Roman"/>
          <w:color w:val="auto"/>
          <w:highlight w:val="white"/>
        </w:rPr>
      </w:pPr>
      <w:r>
        <w:rPr>
          <w:rFonts w:cs="Times New Roman"/>
          <w:color w:val="auto"/>
        </w:rPr>
        <w:t xml:space="preserve">Маршрутизация детей Ленинградской области с инфекционными заболеваниями осуществляется в соответствии </w:t>
      </w:r>
      <w:r>
        <w:rPr>
          <w:rFonts w:cs="Times New Roman"/>
          <w:color w:val="auto"/>
          <w:highlight w:val="white"/>
        </w:rPr>
        <w:t xml:space="preserve">с р</w:t>
      </w:r>
      <w:r>
        <w:rPr>
          <w:rFonts w:eastAsia="Calibri" w:cs="Times New Roman"/>
          <w:color w:val="auto"/>
          <w:highlight w:val="white"/>
        </w:rPr>
        <w:t xml:space="preserve">аспоряжением Комитета по  здравоохранению Ленинградской области от 10 декабря 2019 года № 438-о «Об  утверждении Схемы маршрутизации пациентов при оказании им медицинской помощи по профилю «инфекционные болезни» в Ленинградской области»:</w:t>
      </w:r>
      <w:r>
        <w:rPr>
          <w:rFonts w:eastAsia="Calibri" w:cs="Times New Roman"/>
          <w:color w:val="auto"/>
          <w:highlight w:val="white"/>
        </w:rPr>
      </w:r>
      <w:r>
        <w:rPr>
          <w:rFonts w:eastAsia="Calibri" w:cs="Times New Roman"/>
          <w:color w:val="auto"/>
          <w:highlight w:val="white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highlight w:val="white"/>
          <w:lang w:eastAsia="ru-RU"/>
        </w:rPr>
        <w:t xml:space="preserve">При подозрении или выявлении у ребенка инфекционного за</w:t>
      </w:r>
      <w:r>
        <w:rPr>
          <w:rFonts w:cs="Times New Roman"/>
          <w:color w:val="auto"/>
          <w:lang w:eastAsia="ru-RU"/>
        </w:rPr>
        <w:t xml:space="preserve">болевания госпитализация в инфекционный стационар осуществляется по  направлению врача-педиатра, врача-инфекциониста или бригады скорой помощи.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Показаниями для госпитализации в инфекционный стационар являются: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тяжелое и среднетяжелое течение инфекционного заболевания;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отсутствие клинического эффекта от терапии в амбулаторных условиях в  течение 48 часов;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необходимость проведения дифференциальной диагностики в  стационарных условиях;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эпидемиологические показания;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eastAsia="ru-RU"/>
        </w:rPr>
        <w:t xml:space="preserve">осложненное течение ОРВИ и гриппа</w:t>
      </w:r>
      <w:r>
        <w:rPr>
          <w:rFonts w:ascii="Times New Roman" w:hAnsi="Times New Roman" w:cs="Times New Roman"/>
          <w:color w:val="auto"/>
          <w:lang w:eastAsia="ru-RU"/>
        </w:rPr>
        <w:t xml:space="preserve">.</w:t>
      </w:r>
      <w:r>
        <w:rPr>
          <w:rFonts w:cs="Times New Roman"/>
          <w:color w:val="auto"/>
          <w:highlight w:val="white"/>
        </w:rPr>
        <w:t xml:space="preserve"> </w:t>
      </w:r>
      <w:r>
        <w:rPr>
          <w:rFonts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Маршрутизация детей с признаками </w:t>
      </w:r>
      <w:r>
        <w:rPr>
          <w:rFonts w:cs="Times New Roman"/>
          <w:color w:val="000000" w:themeColor="text1"/>
          <w:highlight w:val="white"/>
        </w:rPr>
        <w:t xml:space="preserve">острой респираторной вирусной инфекцией (</w:t>
      </w:r>
      <w:r>
        <w:rPr>
          <w:rFonts w:cs="Times New Roman"/>
          <w:color w:val="000000" w:themeColor="text1"/>
          <w:lang w:eastAsia="ru-RU"/>
        </w:rPr>
        <w:t xml:space="preserve">ОР</w:t>
      </w:r>
      <w:r>
        <w:rPr>
          <w:rFonts w:cs="Times New Roman"/>
          <w:color w:val="000000" w:themeColor="text1"/>
          <w:highlight w:val="white"/>
          <w:lang w:eastAsia="ru-RU"/>
        </w:rPr>
        <w:t xml:space="preserve">В</w:t>
      </w:r>
      <w:r>
        <w:rPr>
          <w:rFonts w:cs="Times New Roman"/>
          <w:color w:val="000000" w:themeColor="text1"/>
          <w:lang w:eastAsia="ru-RU"/>
        </w:rPr>
        <w:t xml:space="preserve">И) и гриппом в эпидемический сезон осуществляется в соответствии с распоряжением Комитета по здравоохранению</w:t>
      </w:r>
      <w:r>
        <w:rPr>
          <w:rFonts w:cs="Times New Roman"/>
          <w:color w:val="auto"/>
          <w:lang w:eastAsia="ru-RU"/>
        </w:rPr>
        <w:t xml:space="preserve"> Ленинградской области, актуализированным на текущий эпидемический сезон.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pPr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 xml:space="preserve">Взаимодействие медицинских организаций при выявлении </w:t>
      </w:r>
      <w:r>
        <w:rPr>
          <w:b/>
          <w:bCs/>
          <w:szCs w:val="28"/>
          <w:lang w:eastAsia="ru-RU"/>
        </w:rPr>
        <w:t xml:space="preserve">диабетического</w:t>
      </w:r>
      <w:r>
        <w:rPr>
          <w:b/>
          <w:bCs/>
          <w:szCs w:val="28"/>
          <w:lang w:eastAsia="ru-RU"/>
        </w:rPr>
        <w:t xml:space="preserve"> </w:t>
      </w:r>
      <w:r>
        <w:rPr>
          <w:b/>
          <w:bCs/>
          <w:szCs w:val="28"/>
          <w:lang w:eastAsia="ru-RU"/>
        </w:rPr>
        <w:t xml:space="preserve">кетоацидоза</w:t>
      </w:r>
      <w:r>
        <w:rPr>
          <w:b/>
          <w:bCs/>
          <w:szCs w:val="28"/>
          <w:lang w:eastAsia="ru-RU"/>
        </w:rPr>
      </w:r>
      <w:r>
        <w:rPr>
          <w:b/>
          <w:bCs/>
          <w:szCs w:val="28"/>
          <w:lang w:eastAsia="ru-RU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Взаимодействие медицинских организаций при выявлении диабетического </w:t>
      </w:r>
      <w:r>
        <w:rPr>
          <w:rFonts w:cs="Times New Roman"/>
          <w:color w:val="auto"/>
          <w:lang w:eastAsia="ru-RU"/>
        </w:rPr>
        <w:t xml:space="preserve">кетоацидоза</w:t>
      </w:r>
      <w:r>
        <w:rPr>
          <w:rFonts w:cs="Times New Roman"/>
          <w:color w:val="auto"/>
          <w:lang w:eastAsia="ru-RU"/>
        </w:rPr>
        <w:t xml:space="preserve"> (далее - ДКА) у детей осуществляется с учетом </w:t>
      </w:r>
      <w:r>
        <w:rPr>
          <w:rFonts w:cs="Times New Roman"/>
          <w:color w:val="auto"/>
          <w:highlight w:val="white"/>
          <w:lang w:eastAsia="ru-RU"/>
        </w:rPr>
        <w:t xml:space="preserve">требований </w:t>
      </w:r>
      <w:r>
        <w:rPr>
          <w:rFonts w:cs="Times New Roman"/>
          <w:color w:val="auto"/>
          <w:highlight w:val="white"/>
        </w:rPr>
        <w:t xml:space="preserve">постановления Правительства Ленинградской области от 16 февраля 2024 года № 112 «Об утверждении региональной</w:t>
      </w:r>
      <w:r>
        <w:rPr>
          <w:rFonts w:cs="Times New Roman"/>
          <w:color w:val="auto"/>
          <w:highlight w:val="white"/>
        </w:rPr>
        <w:t xml:space="preserve"> программы Ленинградской области «Борьба с сахарным диабетом», приказа Комитета по здравоохранению Ленинградской области от 12 сентября 2025 года № 22 «О единой маршрутизации пациентов Ленинградской области с заболеваниями эндокринной системы, в  том числе</w:t>
      </w:r>
      <w:r>
        <w:rPr>
          <w:rFonts w:cs="Times New Roman"/>
          <w:color w:val="auto"/>
          <w:highlight w:val="white"/>
        </w:rPr>
        <w:t xml:space="preserve"> с сахарным диабетом, включая все этапы наблюдения за  пациентами от фельдшерско-акушерского пункта (поликлиники) до  федерального учреждения, ок</w:t>
      </w:r>
      <w:r>
        <w:rPr>
          <w:rFonts w:cs="Times New Roman"/>
          <w:color w:val="auto"/>
        </w:rPr>
        <w:t xml:space="preserve">азывающего помощь пациента</w:t>
      </w:r>
      <w:bookmarkStart w:id="8" w:name="_Hlk238473639"/>
      <w:r>
        <w:rPr>
          <w:rFonts w:cs="Times New Roman"/>
          <w:color w:val="auto"/>
        </w:rPr>
        <w:t xml:space="preserve">м с  эндокринными заболеваниями», распоряжения Комитета по  здравоохранению Ленинградской области от 30 декабря 2022 года № 671-о «О  совершенствовании оказания медицинской помощи детям и подросткам с  сахарным диабетом в Ленинградской области</w:t>
      </w:r>
      <w:bookmarkEnd w:id="8"/>
      <w:r>
        <w:rPr>
          <w:rFonts w:cs="Times New Roman"/>
          <w:color w:val="auto"/>
        </w:rPr>
        <w:t xml:space="preserve">».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Диагностика ДКА осуществляется на основании критериев: гипергликемия (&gt;11 </w:t>
      </w:r>
      <w:r>
        <w:rPr>
          <w:rFonts w:cs="Times New Roman"/>
          <w:color w:val="auto"/>
          <w:lang w:eastAsia="ru-RU"/>
        </w:rPr>
        <w:t xml:space="preserve">ммоль</w:t>
      </w:r>
      <w:r>
        <w:rPr>
          <w:rFonts w:cs="Times New Roman"/>
          <w:color w:val="auto"/>
          <w:lang w:eastAsia="ru-RU"/>
        </w:rPr>
        <w:t xml:space="preserve">/л), </w:t>
      </w:r>
      <w:r>
        <w:rPr>
          <w:rFonts w:cs="Times New Roman"/>
          <w:color w:val="auto"/>
          <w:lang w:eastAsia="ru-RU"/>
        </w:rPr>
        <w:t xml:space="preserve">кетонемия</w:t>
      </w:r>
      <w:r>
        <w:rPr>
          <w:rFonts w:cs="Times New Roman"/>
          <w:color w:val="auto"/>
          <w:lang w:eastAsia="ru-RU"/>
        </w:rPr>
        <w:t xml:space="preserve"> (≥3 </w:t>
      </w:r>
      <w:r>
        <w:rPr>
          <w:rFonts w:cs="Times New Roman"/>
          <w:color w:val="auto"/>
          <w:lang w:eastAsia="ru-RU"/>
        </w:rPr>
        <w:t xml:space="preserve">ммоль</w:t>
      </w:r>
      <w:r>
        <w:rPr>
          <w:rFonts w:cs="Times New Roman"/>
          <w:color w:val="auto"/>
          <w:lang w:eastAsia="ru-RU"/>
        </w:rPr>
        <w:t xml:space="preserve">/л) или </w:t>
      </w:r>
      <w:r>
        <w:rPr>
          <w:rFonts w:cs="Times New Roman"/>
          <w:color w:val="auto"/>
          <w:lang w:eastAsia="ru-RU"/>
        </w:rPr>
        <w:t xml:space="preserve">кетонурия</w:t>
      </w:r>
      <w:r>
        <w:rPr>
          <w:rFonts w:cs="Times New Roman"/>
          <w:color w:val="auto"/>
          <w:lang w:eastAsia="ru-RU"/>
        </w:rPr>
        <w:t xml:space="preserve"> (++  и  более), метаболический ацидоз (рН &lt; 7,3, бикарбонат &lt; 15 </w:t>
      </w:r>
      <w:r>
        <w:rPr>
          <w:rFonts w:cs="Times New Roman"/>
          <w:color w:val="auto"/>
          <w:lang w:eastAsia="ru-RU"/>
        </w:rPr>
        <w:t xml:space="preserve">ммоль</w:t>
      </w:r>
      <w:r>
        <w:rPr>
          <w:rFonts w:cs="Times New Roman"/>
          <w:color w:val="auto"/>
          <w:lang w:eastAsia="ru-RU"/>
        </w:rPr>
        <w:t xml:space="preserve">/л).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Степень тяжести ДКА определяется по газовому составу крови.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Маршрутизация пациентов с ДКА осуществляется в зависимости от  оснащения МО газоанализатором: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tbl>
      <w:tblPr>
        <w:tblW w:w="9498" w:type="dxa"/>
        <w:tblLayout w:type="fixed"/>
        <w:tblCellMar>
          <w:left w:w="5" w:type="dxa"/>
          <w:top w:w="150" w:type="dxa"/>
          <w:right w:w="235" w:type="dxa"/>
          <w:bottom w:w="150" w:type="dxa"/>
        </w:tblCellMar>
        <w:tblLook w:val="04A0" w:firstRow="1" w:lastRow="0" w:firstColumn="1" w:lastColumn="0" w:noHBand="0" w:noVBand="1"/>
      </w:tblPr>
      <w:tblGrid>
        <w:gridCol w:w="4390"/>
        <w:gridCol w:w="5108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tcW w:w="4390" w:type="dxa"/>
            <w:vAlign w:val="center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Условие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28" w:type="dxa"/>
              <w:bottom w:w="28" w:type="dxa"/>
            </w:tcMar>
            <w:tcW w:w="5108" w:type="dxa"/>
            <w:vAlign w:val="center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Действие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tcW w:w="4390" w:type="dxa"/>
            <w:vAlign w:val="center"/>
            <w:textDirection w:val="lrTb"/>
            <w:noWrap w:val="false"/>
          </w:tcPr>
          <w:p>
            <w:pPr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Наличие газоанализатора в МО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28" w:type="dxa"/>
              <w:right w:w="0" w:type="dxa"/>
              <w:bottom w:w="28" w:type="dxa"/>
            </w:tcMar>
            <w:tcW w:w="5108" w:type="dxa"/>
            <w:vAlign w:val="center"/>
            <w:textDirection w:val="lrTb"/>
            <w:noWrap w:val="false"/>
          </w:tcPr>
          <w:p>
            <w:pPr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Возможно</w:t>
            </w:r>
            <w:r>
              <w:rPr>
                <w:szCs w:val="28"/>
                <w:lang w:eastAsia="ru-RU"/>
              </w:rPr>
              <w:t xml:space="preserve"> проведение диагностики и начало лечения на месте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tcW w:w="4390" w:type="dxa"/>
            <w:vAlign w:val="center"/>
            <w:textDirection w:val="lrTb"/>
            <w:noWrap w:val="false"/>
          </w:tcPr>
          <w:p>
            <w:pPr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Отсутствие газоанализатора в МО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28" w:type="dxa"/>
              <w:right w:w="0" w:type="dxa"/>
              <w:bottom w:w="28" w:type="dxa"/>
            </w:tcMar>
            <w:tcW w:w="5108" w:type="dxa"/>
            <w:vAlign w:val="center"/>
            <w:textDirection w:val="lrTb"/>
            <w:noWrap w:val="false"/>
          </w:tcPr>
          <w:p>
            <w:pPr>
              <w:rPr>
                <w:szCs w:val="28"/>
              </w:rPr>
            </w:pPr>
            <w:r>
              <w:rPr>
                <w:szCs w:val="28"/>
                <w:lang w:eastAsia="ru-RU"/>
              </w:rPr>
              <w:t xml:space="preserve">Немедленная эвакуация в МО II или III уровня, </w:t>
            </w:r>
            <w:r>
              <w:rPr>
                <w:szCs w:val="28"/>
                <w:lang w:eastAsia="ru-RU"/>
              </w:rPr>
              <w:t xml:space="preserve">оснащенную</w:t>
            </w:r>
            <w:r>
              <w:rPr>
                <w:szCs w:val="28"/>
                <w:lang w:eastAsia="ru-RU"/>
              </w:rPr>
              <w:t xml:space="preserve"> газоанализатором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bCs/>
          <w:color w:val="auto"/>
          <w:lang w:eastAsia="ru-RU"/>
        </w:rPr>
        <w:t xml:space="preserve">Показания для госпитализации в </w:t>
      </w:r>
      <w:r>
        <w:rPr>
          <w:rFonts w:cs="Times New Roman"/>
          <w:color w:val="000000" w:themeColor="text1"/>
          <w:highlight w:val="white"/>
        </w:rPr>
        <w:t xml:space="preserve">отделение реанимации и интенсивной терапии</w:t>
      </w:r>
      <w:r>
        <w:rPr>
          <w:rFonts w:cs="Times New Roman"/>
          <w:b/>
          <w:bCs/>
          <w:color w:val="000000" w:themeColor="text1"/>
          <w:lang w:eastAsia="ru-RU"/>
        </w:rPr>
        <w:t xml:space="preserve">:</w:t>
      </w:r>
      <w:r>
        <w:rPr>
          <w:rFonts w:cs="Times New Roman"/>
          <w:color w:val="000000" w:themeColor="text1"/>
          <w:lang w:eastAsia="ru-RU"/>
        </w:rPr>
        <w:t xml:space="preserve"> степень ДКА (рН&lt;7,2), нару</w:t>
      </w:r>
      <w:r>
        <w:rPr>
          <w:rFonts w:cs="Times New Roman"/>
          <w:color w:val="auto"/>
          <w:lang w:eastAsia="ru-RU"/>
        </w:rPr>
        <w:t xml:space="preserve">шения сознания, гемодинамическая нестабильность, возраст до 2 лет, неэффективность терапии в течение 2-4 часов.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Контроль газового состава крови проводится каждые 2 часа до  коррекции ацидоза. При отсутствии положительной динамики в течение 4 часов — перевод в ОРИТ III уровня.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jc w:val="center"/>
        <w:rPr>
          <w:b/>
          <w:bCs/>
          <w:szCs w:val="28"/>
        </w:rPr>
      </w:pPr>
      <w:r>
        <w:rPr>
          <w:b/>
          <w:szCs w:val="28"/>
        </w:rPr>
        <w:t xml:space="preserve">Маршрутизация новорожденных и недоношенных детей.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  <w:highlight w:val="white"/>
        </w:rPr>
      </w:pPr>
      <w:r>
        <w:rPr>
          <w:rFonts w:cs="Times New Roman"/>
          <w:color w:val="auto"/>
          <w:highlight w:val="white"/>
        </w:rPr>
        <w:t xml:space="preserve"> </w:t>
      </w:r>
      <w:r>
        <w:rPr>
          <w:rFonts w:cs="Times New Roman"/>
          <w:color w:val="auto"/>
          <w:highlight w:val="white"/>
        </w:rPr>
        <w:t xml:space="preserve">Маршрутизация новорожденных и недоношенных детей регламентиро</w:t>
      </w:r>
      <w:r>
        <w:rPr>
          <w:rFonts w:cs="Times New Roman"/>
          <w:color w:val="auto"/>
          <w:highlight w:val="white"/>
        </w:rPr>
        <w:t xml:space="preserve">вана приказом Комитета по здравоохранению Ленинградской области от 18 июня 2026 года № 13 «Об организации оказания медицинской помощи по  профилю «Неонатология» в Ленинградской области», распоряжением Комитета по здравоохранения от 25 мая 2017 года №208-о </w:t>
      </w:r>
      <w:bookmarkStart w:id="9" w:name="_Hlk232672313"/>
      <w:r>
        <w:rPr>
          <w:rFonts w:cs="Times New Roman"/>
          <w:color w:val="auto"/>
          <w:highlight w:val="white"/>
        </w:rPr>
        <w:t xml:space="preserve">«О регламенте взаимодействия отделения экстренной консультативной скорой медицинской помощи ЛОГБУЗ «ДКБ» и государственных учреждений здравоохранения Ленинградской области»</w:t>
      </w:r>
      <w:bookmarkEnd w:id="9"/>
      <w:r>
        <w:rPr>
          <w:rFonts w:cs="Times New Roman"/>
          <w:color w:val="auto"/>
          <w:highlight w:val="white"/>
        </w:rPr>
      </w:r>
      <w:r>
        <w:rPr>
          <w:rFonts w:cs="Times New Roman"/>
          <w:color w:val="auto"/>
          <w:highlight w:val="white"/>
        </w:rPr>
      </w:r>
    </w:p>
    <w:p>
      <w:pPr>
        <w:rPr>
          <w:szCs w:val="28"/>
          <w:highlight w:val="yellow"/>
        </w:rPr>
      </w:pPr>
      <w:r>
        <w:rPr>
          <w:szCs w:val="28"/>
          <w:highlight w:val="yellow"/>
        </w:rPr>
      </w:r>
      <w:r>
        <w:rPr>
          <w:szCs w:val="28"/>
          <w:highlight w:val="yellow"/>
        </w:rPr>
      </w:r>
      <w:r>
        <w:rPr>
          <w:szCs w:val="28"/>
          <w:highlight w:val="yellow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Наблюдение и направление на госпитализацию детей с </w:t>
      </w:r>
      <w:r>
        <w:rPr>
          <w:b/>
          <w:bCs/>
          <w:szCs w:val="28"/>
        </w:rPr>
        <w:t xml:space="preserve">орфанными</w:t>
      </w:r>
      <w:r>
        <w:rPr>
          <w:b/>
          <w:bCs/>
          <w:szCs w:val="28"/>
        </w:rPr>
        <w:t xml:space="preserve"> заболеваниями 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cs="Times New Roman"/>
          <w:bCs/>
          <w:color w:val="auto"/>
        </w:rPr>
      </w:pPr>
      <w:r>
        <w:rPr>
          <w:rFonts w:cs="Times New Roman"/>
          <w:bCs/>
          <w:color w:val="auto"/>
        </w:rPr>
        <w:t xml:space="preserve">Наблюдение и направление на госпитализацию детей с </w:t>
      </w:r>
      <w:r>
        <w:rPr>
          <w:rFonts w:cs="Times New Roman"/>
          <w:bCs/>
          <w:color w:val="auto"/>
        </w:rPr>
        <w:t xml:space="preserve">орфанными</w:t>
      </w:r>
      <w:r>
        <w:rPr>
          <w:rFonts w:cs="Times New Roman"/>
          <w:bCs/>
          <w:color w:val="auto"/>
        </w:rPr>
        <w:t xml:space="preserve"> заболеваниями осуществляется в соответствии с приказ</w:t>
      </w:r>
      <w:r>
        <w:rPr>
          <w:rFonts w:cs="Times New Roman"/>
          <w:bCs/>
          <w:color w:val="auto"/>
          <w:highlight w:val="white"/>
        </w:rPr>
        <w:t xml:space="preserve">ом</w:t>
      </w:r>
      <w:r>
        <w:rPr>
          <w:rFonts w:cs="Times New Roman"/>
          <w:bCs/>
          <w:color w:val="auto"/>
        </w:rPr>
        <w:t xml:space="preserve"> Комитета по  здравоохранению Ленинградской области от 27 декабря 2022 года № 32 «О  совершенствовании оказания медицинской помощи пациентам с  врожденными </w:t>
      </w:r>
      <w:r>
        <w:rPr>
          <w:rFonts w:cs="Times New Roman"/>
          <w:bCs/>
          <w:color w:val="auto"/>
        </w:rPr>
        <w:t xml:space="preserve">и(</w:t>
      </w:r>
      <w:r>
        <w:rPr>
          <w:rFonts w:cs="Times New Roman"/>
          <w:bCs/>
          <w:color w:val="auto"/>
        </w:rPr>
        <w:t xml:space="preserve">или) наследственными заболеваниями в Ленинградской области».</w:t>
      </w:r>
      <w:r>
        <w:rPr>
          <w:rFonts w:cs="Times New Roman"/>
          <w:bCs/>
          <w:color w:val="auto"/>
        </w:rPr>
      </w:r>
      <w:r>
        <w:rPr>
          <w:rFonts w:cs="Times New Roman"/>
          <w:bCs/>
          <w:color w:val="auto"/>
        </w:rPr>
      </w:r>
    </w:p>
    <w:p>
      <w:pPr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b/>
          <w:bCs/>
        </w:rPr>
      </w:pPr>
      <w:r>
        <w:rPr>
          <w:b/>
          <w:bCs/>
          <w:szCs w:val="28"/>
        </w:rPr>
        <w:t xml:space="preserve">Наблюдение за детьми из семей высокого социального риска 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  <w:highlight w:val="white"/>
        </w:rPr>
      </w:pPr>
      <w:r>
        <w:rPr>
          <w:rFonts w:cs="Times New Roman"/>
          <w:bCs/>
          <w:color w:val="auto"/>
        </w:rPr>
        <w:t xml:space="preserve">Наблюдение за детьми из семей высокого социального риска</w:t>
      </w:r>
      <w:r>
        <w:rPr>
          <w:rFonts w:cs="Times New Roman"/>
          <w:color w:val="auto"/>
        </w:rPr>
        <w:t xml:space="preserve"> осуществляется в соответствии с </w:t>
      </w:r>
      <w:r>
        <w:rPr>
          <w:rFonts w:cs="Times New Roman"/>
          <w:lang w:eastAsia="ar-SA"/>
        </w:rPr>
        <w:t xml:space="preserve">распоряжением Губернатора Ленинградской области от 9 марта 2022 года № 144-рг «О порядке взаимодействи</w:t>
      </w:r>
      <w:r>
        <w:rPr>
          <w:rFonts w:cs="Times New Roman"/>
          <w:lang w:eastAsia="ar-SA"/>
        </w:rPr>
        <w:t xml:space="preserve">я на территории Ленинградской области субъектов системы профилактики безнадзорности и правонарушений несовершеннолетних при выявлении женщин с детьми, подвергшихся насилию в семье, а также в целях раннего выявления и профилактики случаев насилия в семье», </w:t>
      </w:r>
      <w:r>
        <w:rPr>
          <w:rFonts w:cs="Times New Roman"/>
          <w:highlight w:val="white"/>
          <w:lang w:eastAsia="ar-SA"/>
        </w:rPr>
        <w:t xml:space="preserve">распоряжением Комитета по</w:t>
      </w:r>
      <w:r>
        <w:rPr>
          <w:rFonts w:cs="Times New Roman"/>
          <w:highlight w:val="white"/>
          <w:lang w:eastAsia="ar-SA"/>
        </w:rPr>
        <w:t xml:space="preserve"> здравоохранению</w:t>
      </w:r>
      <w:r>
        <w:rPr>
          <w:rFonts w:cs="Times New Roman"/>
          <w:highlight w:val="white"/>
          <w:lang w:eastAsia="ar-SA"/>
        </w:rPr>
        <w:t xml:space="preserve"> Ленинградской области от 06 июня </w:t>
      </w:r>
      <w:r>
        <w:rPr>
          <w:rFonts w:cs="Times New Roman"/>
          <w:highlight w:val="white"/>
          <w:lang w:eastAsia="ar-SA"/>
        </w:rPr>
        <w:t xml:space="preserve">2017</w:t>
      </w:r>
      <w:r>
        <w:rPr>
          <w:rFonts w:cs="Times New Roman"/>
          <w:highlight w:val="white"/>
          <w:lang w:eastAsia="ar-SA"/>
        </w:rPr>
        <w:t xml:space="preserve"> года</w:t>
      </w:r>
      <w:r>
        <w:rPr>
          <w:rFonts w:cs="Times New Roman"/>
          <w:highlight w:val="white"/>
          <w:lang w:eastAsia="ar-SA"/>
        </w:rPr>
        <w:t xml:space="preserve"> № 222-о «О работе государственных учреждений здравоохранения во взаимодействии с субъектами системы профилактики в Ленинградской области», распоряжением Комитета по здравоохранению Ленинградской области </w:t>
      </w:r>
      <w:r>
        <w:rPr>
          <w:rFonts w:cs="Times New Roman"/>
          <w:highlight w:val="white"/>
          <w:lang w:eastAsia="ar-SA"/>
        </w:rPr>
        <w:t xml:space="preserve">от 04 апреля </w:t>
      </w:r>
      <w:r>
        <w:rPr>
          <w:rFonts w:cs="Times New Roman"/>
          <w:highlight w:val="white"/>
          <w:lang w:eastAsia="ar-SA"/>
        </w:rPr>
        <w:t xml:space="preserve">2018</w:t>
      </w:r>
      <w:r>
        <w:rPr>
          <w:rFonts w:cs="Times New Roman"/>
          <w:highlight w:val="white"/>
          <w:lang w:eastAsia="ar-SA"/>
        </w:rPr>
        <w:t xml:space="preserve"> года</w:t>
      </w:r>
      <w:r>
        <w:rPr>
          <w:rFonts w:cs="Times New Roman"/>
          <w:highlight w:val="white"/>
          <w:lang w:eastAsia="ar-SA"/>
        </w:rPr>
        <w:t xml:space="preserve"> № 160-о «Об информировании органов внутренних дел о преступлениях против половой свободы и половой неприкосновенности несовершеннолетних</w:t>
      </w:r>
      <w:r>
        <w:rPr>
          <w:rFonts w:cs="Times New Roman"/>
          <w:highlight w:val="white"/>
          <w:lang w:eastAsia="ar-SA"/>
        </w:rPr>
        <w:t xml:space="preserve">».</w:t>
      </w:r>
      <w:r>
        <w:rPr>
          <w:highlight w:val="white"/>
        </w:rPr>
        <w:t xml:space="preserve">.</w:t>
      </w:r>
      <w:r>
        <w:rPr>
          <w:rFonts w:cs="Times New Roman"/>
          <w:color w:val="auto"/>
          <w:highlight w:val="white"/>
        </w:rPr>
      </w:r>
      <w:r>
        <w:rPr>
          <w:rFonts w:cs="Times New Roman"/>
          <w:color w:val="auto"/>
          <w:highlight w:val="white"/>
        </w:rPr>
      </w:r>
    </w:p>
    <w:p>
      <w:pPr>
        <w:pStyle w:val="987"/>
        <w:numPr>
          <w:ilvl w:val="0"/>
          <w:numId w:val="0"/>
        </w:numPr>
        <w:ind w:firstLine="709"/>
        <w:rPr>
          <w:rFonts w:cs="Times New Roman"/>
          <w:color w:val="auto"/>
        </w:rPr>
      </w:pP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</w:rPr>
        <w:t xml:space="preserve">Порядок действий медицинских работников и медицинских организаций в нештатных ситуациях при маршрутизации детей.</w:t>
      </w:r>
      <w:r>
        <w:rPr>
          <w:b/>
          <w:bCs/>
          <w:szCs w:val="28"/>
          <w:lang w:eastAsia="ru-RU"/>
        </w:rPr>
        <w:t xml:space="preserve"> </w:t>
      </w:r>
      <w:r>
        <w:rPr>
          <w:b/>
          <w:bCs/>
          <w:szCs w:val="28"/>
          <w:lang w:eastAsia="ru-RU"/>
        </w:rPr>
      </w:r>
      <w:r>
        <w:rPr>
          <w:b/>
          <w:bCs/>
          <w:szCs w:val="28"/>
          <w:lang w:eastAsia="ru-RU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Нештатными ситуациями являются: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1) отказ МО вышестоящего уровня в приеме/госпитализации ребенка;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2) отсутствие свободного коечного фонда;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3) технический сбой в РМИС;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4) невозможность транспортировки;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5) невозможность проведения экстренного исследования.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87"/>
        <w:ind w:left="0" w:firstLine="709"/>
        <w:rPr>
          <w:highlight w:val="white"/>
        </w:rPr>
      </w:pPr>
      <w:r>
        <w:rPr>
          <w:highlight w:val="white"/>
          <w:lang w:eastAsia="ru-RU"/>
        </w:rPr>
        <w:t xml:space="preserve">При отказе в госпитализации (переводе):</w:t>
      </w:r>
      <w:r>
        <w:rPr>
          <w:highlight w:val="white"/>
        </w:rPr>
      </w:r>
      <w:r>
        <w:rPr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1) врач фиксирует факт отказа в медицинской документации;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2) в течение 1 часа организуется консилиум врачей с применением телемедицинских технологий;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3) при сохранении разногласий в течение 2 часов созывается врачебная комиссия направляющей МО с привлечением главного внештатного специалиста;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4) решение врачебной комиссии оформляется протоколом.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87"/>
        <w:ind w:left="0" w:firstLine="709"/>
        <w:rPr>
          <w:highlight w:val="white"/>
        </w:rPr>
      </w:pPr>
      <w:r>
        <w:rPr>
          <w:highlight w:val="white"/>
          <w:lang w:eastAsia="ru-RU"/>
        </w:rPr>
        <w:t xml:space="preserve">При отсутствии коечного фонда</w:t>
      </w:r>
      <w:r>
        <w:rPr>
          <w:b/>
          <w:highlight w:val="white"/>
          <w:lang w:eastAsia="ru-RU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1) заведующий приемным отделением информирует направляющую МО; 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2) о занятости коек в течение 30 минут;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3) при отсутствии свободных коек оценивается возможность размещения в смежном отделении;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4) </w:t>
      </w:r>
      <w:r>
        <w:rPr>
          <w:rFonts w:ascii="Times New Roman" w:hAnsi="Times New Roman" w:cs="Times New Roman"/>
          <w:color w:val="auto"/>
          <w:lang w:eastAsia="ru-RU"/>
        </w:rPr>
        <w:t xml:space="preserve">при невозможности размещения — пациент маршрутизируется в  </w:t>
      </w:r>
      <w:r>
        <w:rPr>
          <w:rFonts w:ascii="Times New Roman" w:hAnsi="Times New Roman" w:cs="Times New Roman"/>
          <w:color w:val="auto"/>
          <w:lang w:eastAsia="ru-RU"/>
        </w:rPr>
        <w:t xml:space="preserve">альтернативную</w:t>
      </w:r>
      <w:r>
        <w:rPr>
          <w:rFonts w:ascii="Times New Roman" w:hAnsi="Times New Roman" w:cs="Times New Roman"/>
          <w:color w:val="auto"/>
          <w:lang w:eastAsia="ru-RU"/>
        </w:rPr>
        <w:t xml:space="preserve"> МО.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</w:pPr>
      <w:r>
        <w:rPr>
          <w:lang w:eastAsia="ru-RU"/>
        </w:rPr>
        <w:t xml:space="preserve">При техническом сбое ЕМИС «Ариадна»:</w:t>
      </w:r>
      <w:r/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1) направление оформляется на бумажном носителе с последующим внесением в ЕМИС в течение 24 часов;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2) телемедицинская консультация проводится по альтернативным каналам связи с последующим оформлением протокола.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87"/>
        <w:ind w:left="0" w:firstLine="709"/>
        <w:rPr>
          <w:highlight w:val="white"/>
        </w:rPr>
      </w:pPr>
      <w:r>
        <w:rPr>
          <w:highlight w:val="white"/>
          <w:lang w:eastAsia="ru-RU"/>
        </w:rPr>
        <w:t xml:space="preserve">При невозможности транспортировки:</w:t>
      </w:r>
      <w:r>
        <w:rPr>
          <w:highlight w:val="white"/>
        </w:rPr>
      </w:r>
      <w:r>
        <w:rPr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1) при отказе законных представителей - оформляется письменный отказ;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left="709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2) при отсутствии транспортной бригады - информируется ОЭКСМП;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highlight w:val="white"/>
          <w:lang w:eastAsia="ru-RU"/>
        </w:rPr>
        <w:t xml:space="preserve">3) </w:t>
      </w:r>
      <w:r>
        <w:rPr>
          <w:rFonts w:ascii="Times New Roman" w:hAnsi="Times New Roman" w:cs="Times New Roman"/>
          <w:color w:val="auto"/>
          <w:lang w:eastAsia="ru-RU"/>
        </w:rPr>
        <w:t xml:space="preserve">при невозможности транспортировки по погодным условиям — пациент госпитализируется в </w:t>
      </w:r>
      <w:r>
        <w:rPr>
          <w:rFonts w:ascii="Times New Roman" w:hAnsi="Times New Roman" w:cs="Times New Roman"/>
          <w:color w:val="auto"/>
          <w:lang w:eastAsia="ru-RU"/>
        </w:rPr>
        <w:t xml:space="preserve">ближайшую</w:t>
      </w:r>
      <w:r>
        <w:rPr>
          <w:rFonts w:ascii="Times New Roman" w:hAnsi="Times New Roman" w:cs="Times New Roman"/>
          <w:color w:val="auto"/>
          <w:lang w:eastAsia="ru-RU"/>
        </w:rPr>
        <w:t xml:space="preserve"> МО.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Ответственность за принятие решений в нештатных ситуациях: на  уровне медицинской организации - председатель врачебной комиссии (заместитель главного врача по медицинской части);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rPr>
          <w:b/>
          <w:szCs w:val="28"/>
        </w:rPr>
      </w:pPr>
      <w:r>
        <w:rPr>
          <w:b/>
          <w:szCs w:val="28"/>
          <w:lang w:eastAsia="ru-RU"/>
        </w:rPr>
        <w:t xml:space="preserve"> </w:t>
      </w:r>
      <w:r>
        <w:rPr>
          <w:b/>
          <w:szCs w:val="28"/>
        </w:rPr>
      </w:r>
      <w:r>
        <w:rPr>
          <w:b/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szCs w:val="28"/>
        </w:rPr>
        <w:t xml:space="preserve">Контроль качества и эффективности маршрутизации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jc w:val="center"/>
        <w:rPr>
          <w:szCs w:val="28"/>
          <w:lang w:eastAsia="ru-RU"/>
        </w:rPr>
      </w:pPr>
      <w:r>
        <w:rPr>
          <w:szCs w:val="28"/>
          <w:lang w:eastAsia="ru-RU"/>
        </w:rPr>
      </w: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Контроль соответствия маршрутизации осуществляется на  основании </w:t>
      </w:r>
      <w:r>
        <w:rPr>
          <w:rFonts w:cs="Times New Roman"/>
          <w:color w:val="auto"/>
          <w:lang w:eastAsia="ru-RU"/>
        </w:rPr>
        <w:t xml:space="preserve">чек-листа</w:t>
      </w:r>
      <w:r>
        <w:rPr>
          <w:rFonts w:cs="Times New Roman"/>
          <w:color w:val="auto"/>
          <w:lang w:eastAsia="ru-RU"/>
        </w:rPr>
        <w:t xml:space="preserve"> по группам критериев: общие сведения, трехуровневая система маршрутизации, виды и условия оказания помощи, возрастной принцип и социальные группы, порядок направлений и переводов, экстренная помощь, диспансерное наблюдение, </w:t>
      </w:r>
      <w:r>
        <w:rPr>
          <w:rFonts w:cs="Times New Roman"/>
          <w:color w:val="auto"/>
          <w:lang w:eastAsia="ru-RU"/>
        </w:rPr>
        <w:t xml:space="preserve">межпрофильное</w:t>
      </w:r>
      <w:r>
        <w:rPr>
          <w:rFonts w:cs="Times New Roman"/>
          <w:color w:val="auto"/>
          <w:lang w:eastAsia="ru-RU"/>
        </w:rPr>
        <w:t xml:space="preserve"> взаимодействие, </w:t>
      </w:r>
      <w:r>
        <w:rPr>
          <w:rFonts w:cs="Times New Roman"/>
          <w:color w:val="auto"/>
          <w:lang w:eastAsia="ru-RU"/>
        </w:rPr>
        <w:t xml:space="preserve">цифровизация</w:t>
      </w:r>
      <w:r>
        <w:rPr>
          <w:rFonts w:cs="Times New Roman"/>
          <w:color w:val="auto"/>
          <w:lang w:eastAsia="ru-RU"/>
        </w:rPr>
        <w:t xml:space="preserve"> и функционирование МИС, наличие графических схем маршрутизации, контроль качества и эффективности.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87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  <w:lang w:eastAsia="ru-RU"/>
        </w:rPr>
        <w:t xml:space="preserve">При выявлении случая нарушения маршрутизации, повлекшего ухудшение состояния пациента, </w:t>
      </w:r>
      <w:r>
        <w:rPr>
          <w:rFonts w:cs="Times New Roman"/>
          <w:color w:val="auto"/>
          <w:lang w:eastAsia="ru-RU"/>
        </w:rPr>
        <w:t xml:space="preserve">инвалидизацию</w:t>
      </w:r>
      <w:r>
        <w:rPr>
          <w:rFonts w:cs="Times New Roman"/>
          <w:color w:val="auto"/>
          <w:lang w:eastAsia="ru-RU"/>
        </w:rPr>
        <w:t xml:space="preserve"> или летальный исход:</w:t>
      </w:r>
      <w:r>
        <w:rPr>
          <w:rFonts w:cs="Times New Roman"/>
          <w:color w:val="auto"/>
        </w:rPr>
      </w:r>
      <w:r>
        <w:rPr>
          <w:rFonts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1) случай подлежит обязательному разбору на врачебной комиссии медицинской организации в течение 3 рабочих дней;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2) по результатам разбора оформляется протокол с указанием причин нарушения и разработкой корректирующих мероприятий;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3) копия протокола направляется в Комитет по здравоохранению Ленинградской области в течение 5 рабочих дней;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4) при летальном исходе - с обязательным участием главного внештатного специалиста Комитета по здравоохранению Ленинградской области;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0"/>
        </w:numPr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5) по итогам разбора при необходимости издается распорядительный акт главного врача о применении дисциплинарных мер и/или об изменении локальных алгоритмов маршрутизации. </w:t>
      </w:r>
      <w:r>
        <w:rPr>
          <w:rFonts w:ascii="Times New Roman" w:hAnsi="Times New Roman" w:cs="Times New Roman"/>
          <w:color w:val="auto"/>
        </w:rPr>
        <w:br w:type="page" w:clear="all"/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Утвержден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приказом Комитета по здравоохранению 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Ленинградской области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от_________________2026 г. №______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(Приложение </w:t>
      </w:r>
      <w:r>
        <w:rPr>
          <w:szCs w:val="28"/>
        </w:rPr>
        <w:t xml:space="preserve">2</w:t>
      </w:r>
      <w:r>
        <w:rPr>
          <w:szCs w:val="28"/>
        </w:rPr>
        <w:t xml:space="preserve">)</w:t>
      </w:r>
      <w:r>
        <w:rPr>
          <w:szCs w:val="28"/>
        </w:rPr>
      </w:r>
      <w:r>
        <w:rPr>
          <w:szCs w:val="28"/>
        </w:rPr>
      </w:r>
    </w:p>
    <w:p>
      <w:pPr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b/>
          <w:bCs/>
        </w:rPr>
      </w:pPr>
      <w:r/>
      <w:bookmarkStart w:id="10" w:name="_Hlk232070278"/>
      <w:r>
        <w:rPr>
          <w:b/>
          <w:bCs/>
        </w:rPr>
        <w:t xml:space="preserve">Перечень медицинских организаций Ленинградской области, оказывающих медицинскую помощь по профилю «педиатрия» в стационарных условиях, в соответствии с трехуровневой системой оказания медицинской помощи</w:t>
      </w:r>
      <w:bookmarkEnd w:id="10"/>
      <w:r>
        <w:rPr>
          <w:b/>
          <w:bCs/>
        </w:rPr>
      </w:r>
      <w:r>
        <w:rPr>
          <w:b/>
          <w:bCs/>
        </w:rPr>
      </w:r>
    </w:p>
    <w:p>
      <w:pPr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tbl>
      <w:tblPr>
        <w:tblW w:w="9924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10"/>
        <w:gridCol w:w="11"/>
        <w:gridCol w:w="8226"/>
        <w:gridCol w:w="1277"/>
      </w:tblGrid>
      <w:tr>
        <w:tblPrEx/>
        <w:trPr>
          <w:trHeight w:val="285"/>
        </w:trPr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8237" w:type="dxa"/>
            <w:textDirection w:val="lrTb"/>
            <w:noWrap w:val="false"/>
          </w:tcPr>
          <w:p>
            <w:pPr>
              <w:pStyle w:val="986"/>
              <w:ind w:firstLine="2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64"/>
        </w:trPr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3"/>
            <w:tcW w:w="9514" w:type="dxa"/>
            <w:textDirection w:val="lrTb"/>
            <w:noWrap w:val="false"/>
          </w:tcPr>
          <w:p>
            <w:pPr>
              <w:pStyle w:val="986"/>
              <w:ind w:firstLine="2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Медицинские организации первой группы: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 дневной стационар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ind w:firstLine="0"/>
            </w:pPr>
            <w:r>
              <w:t xml:space="preserve">Государственное бюджетное учреждение здравоохранения Ленинградской области «</w:t>
            </w:r>
            <w:r>
              <w:t xml:space="preserve">Лодейнопольская</w:t>
            </w:r>
            <w:r>
              <w:t xml:space="preserve"> межрайонная больница» (ГБУЗ ЛО «</w:t>
            </w:r>
            <w:r>
              <w:t xml:space="preserve">Лодейнопольская</w:t>
            </w:r>
            <w:r>
              <w:t xml:space="preserve"> МБ») </w:t>
            </w:r>
            <w:r/>
          </w:p>
          <w:p>
            <w:pPr>
              <w:ind w:firstLine="0"/>
            </w:pPr>
            <w:r>
              <w:t xml:space="preserve">- педиатрическое отделение.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ind w:firstLine="0"/>
            </w:pPr>
            <w:r>
              <w:t xml:space="preserve">Государственное бюджетное учреждение здравоохранения Ленинградской области «Ломоносовская межрайонная больница имени </w:t>
            </w:r>
            <w:r>
              <w:t xml:space="preserve">И.Н.Юдченко</w:t>
            </w:r>
            <w:r>
              <w:t xml:space="preserve">» (ГБУЗ ЛО «Ломоносовская МБ»)</w:t>
            </w:r>
            <w:r/>
          </w:p>
          <w:p>
            <w:pPr>
              <w:ind w:firstLine="237"/>
              <w:rPr>
                <w:rFonts w:eastAsia="Calibri"/>
              </w:rPr>
            </w:pPr>
            <w:r>
              <w:rPr>
                <w:rFonts w:eastAsia="Calibri"/>
              </w:rPr>
              <w:t xml:space="preserve">- педиатрическое отделение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ind w:firstLine="237"/>
            </w:pPr>
            <w:r>
              <w:rPr>
                <w:rFonts w:eastAsia="Calibri"/>
              </w:rPr>
              <w:t xml:space="preserve">- педиатрическое отделение дневной стационар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ind w:firstLine="0"/>
            </w:pPr>
            <w:r>
              <w:t xml:space="preserve">Государственное бюджетное учреждение здравоохранения Ленинградской области «</w:t>
            </w:r>
            <w:r>
              <w:t xml:space="preserve">Приозерская</w:t>
            </w:r>
            <w:r>
              <w:t xml:space="preserve"> центральная районная больница» (ГБУЗ ЛО «</w:t>
            </w:r>
            <w:r>
              <w:t xml:space="preserve">Приозерская</w:t>
            </w:r>
            <w:r>
              <w:t xml:space="preserve"> МБ»)</w:t>
            </w:r>
            <w:r/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63"/>
        </w:trPr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ind w:firstLine="0"/>
            </w:pPr>
            <w:r>
              <w:t xml:space="preserve">Государственное бюджетное учреждение здравоохранения Ленинградской области «</w:t>
            </w:r>
            <w:r>
              <w:t xml:space="preserve">Сланцевская</w:t>
            </w:r>
            <w:r>
              <w:t xml:space="preserve"> межрайонная больница» (ГБУЗ ЛО «</w:t>
            </w:r>
            <w:r>
              <w:t xml:space="preserve">Сланцевская</w:t>
            </w:r>
            <w:r>
              <w:t xml:space="preserve"> МБ»)</w:t>
            </w:r>
            <w:r/>
          </w:p>
          <w:p>
            <w:pPr>
              <w:pStyle w:val="986"/>
              <w:ind w:firstLine="23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ind w:firstLine="237"/>
            </w:pPr>
            <w:r>
              <w:rPr>
                <w:rFonts w:eastAsia="Calibri"/>
              </w:rPr>
              <w:t xml:space="preserve">- инфекционное отделение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Киришская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клиническая межрайонная больница» (ГБУЗ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Киришская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государственное учреждение здравоохранения «Центральная медико-санитарная часть № 38 Федерального медико-биологического агентства»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«Кировская межрайонная больница» (ГБУЗ ЛО «Кировская 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Волховская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Волховская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«Тихвинская межрайонная больница 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А.Ф.Калмыкова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(ГБУЗ «Тихвинская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Рощинская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Рощинская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педиатрическое отделение дневной стационар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421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26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 (ГБУЗ ЛО 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инфекционное отделение (койки детские- 9)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3"/>
            <w:tcW w:w="9514" w:type="dxa"/>
            <w:textDirection w:val="lrTb"/>
            <w:noWrap w:val="false"/>
          </w:tcPr>
          <w:p>
            <w:pPr>
              <w:pStyle w:val="986"/>
              <w:ind w:firstLine="2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Медицинские организации второй группы: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8237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«Всеволожская клиническая межрайонная больница» (ГБУЗ ЛО «Всеволожская КМБ»)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8237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«Выборгская детская городская больница» (ГБУЗ ЛО «Выборгская ДГБ»)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8237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Тосненская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клиническая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Тосненская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- дневной стационар педиатрического отделения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Дневной стационар Никольской больницы с койками педиатрического профиля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8237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Гатчинская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КМБ»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(ГБУЗ ЛО «Гатчинская КМБ»)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 стационара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8237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 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П.Н.Прохорова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педиатрическое отделение дневной стационар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инфекционное отделение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82"/>
        </w:trPr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3"/>
            <w:tcW w:w="9514" w:type="dxa"/>
            <w:textDirection w:val="lrTb"/>
            <w:noWrap w:val="false"/>
          </w:tcPr>
          <w:p>
            <w:pPr>
              <w:pStyle w:val="986"/>
              <w:ind w:firstLine="2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организация третьей группы: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10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2"/>
            <w:tcW w:w="8237" w:type="dxa"/>
            <w:textDirection w:val="lrTb"/>
            <w:noWrap w:val="false"/>
          </w:tcPr>
          <w:p>
            <w:pPr>
              <w:pStyle w:val="986"/>
              <w:ind w:firstLine="2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Ленинградское областное государственное учреждение здравоохранения «Детская клиническая больница» (ЛОГБУЗ «ДКБ»)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Утвержден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приказом Комитета по здравоохранению 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Ленинградской области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от_________________2026 г. №______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(Приложение 3</w:t>
      </w:r>
      <w:r>
        <w:rPr>
          <w:szCs w:val="28"/>
        </w:rPr>
        <w:t xml:space="preserve">)</w:t>
      </w:r>
      <w:r>
        <w:rPr>
          <w:szCs w:val="28"/>
        </w:rPr>
      </w:r>
      <w:r>
        <w:rPr>
          <w:szCs w:val="28"/>
        </w:rPr>
      </w:r>
    </w:p>
    <w:p>
      <w:r/>
      <w:r/>
    </w:p>
    <w:p>
      <w:pPr>
        <w:jc w:val="center"/>
      </w:pPr>
      <w:r/>
      <w:bookmarkStart w:id="11" w:name="_Hlk232070324"/>
      <w:r>
        <w:rPr>
          <w:b/>
          <w:bCs/>
        </w:rPr>
        <w:t xml:space="preserve">Перечень медицинских организаций Ленинградской области, оказывающих медицинскую помощь по профилю «педиатрия» в амбулаторных условиях, в соответствии с трехуровневой системой оказания медицинской помощи</w:t>
      </w:r>
      <w:bookmarkEnd w:id="11"/>
      <w:r/>
      <w:r/>
    </w:p>
    <w:p>
      <w:pPr>
        <w:jc w:val="center"/>
      </w:pPr>
      <w:r/>
      <w:r/>
    </w:p>
    <w:tbl>
      <w:tblPr>
        <w:tblW w:w="97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5244"/>
        <w:gridCol w:w="1276"/>
        <w:gridCol w:w="10"/>
      </w:tblGrid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 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Бокситогорская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 Детская поликлиника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 Детская поликлиника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</w:pPr>
            <w:r>
              <w:t xml:space="preserve">Лодейнопольский</w:t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 детское поликлиническое отделение.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</w:pPr>
            <w:r>
              <w:t xml:space="preserve">Ломоносовский</w:t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«Ломоносовская межрайонная больница имени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И.Н.Юдченко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(ГБУЗ ЛО «Ломоносовская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 детское поликлиническое отделение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</w:pPr>
            <w:r>
              <w:t xml:space="preserve">Приозерский</w:t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поликлиника 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75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</w:pPr>
            <w:r>
              <w:t xml:space="preserve">Сланцевский</w:t>
            </w:r>
            <w:r>
              <w:t xml:space="preserve"> </w:t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поликлиника 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Киришская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клиническая межрайонная больница» (ГБУЗ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Киришская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детская поликлиника ГБУЗ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Киришская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Лужский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МБ»: детская поликлиника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Федеральное государственное учреждение здравоохранения «Центральная медико-санитарная часть    № 38 Федерального медико-биологического агентства» (ФГУЗ «ЦМСЧ №38» ФМБА России)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поликлиника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«Кировская межрайонная больница» (ГБУЗ ЛО «Кировская 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tabs>
                <w:tab w:val="left" w:pos="369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поликлиника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«Кировская 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Волховская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больница» (ГБУЗ ЛО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Волховская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МБ")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Поликлиническое отделение для детей 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Волховская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«Тихвинская межрайонная больница 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А.Ф.Калмыкова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(ГБУЗ 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ЛО «Тихвинская МБ»)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86"/>
              <w:tabs>
                <w:tab w:val="left" w:pos="217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Детская поликлиника ГБУЗ 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«Тихвинская 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больница" (ГБУЗ ЛО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МБ")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поликлиника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«Всеволожская клиническая межрайонная больница» (ГБУЗ ЛО «Всеволожская КМБ»)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«Всеволожская КМБ» Детская поликлиника с дневным стационаром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contextualSpacing/>
              <w:tabs>
                <w:tab w:val="left" w:pos="851" w:leader="none"/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"Выборгская детская районная больница" (ГБУЗ ЛО «Выборгская ДРБ»)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contextualSpacing/>
              <w:tabs>
                <w:tab w:val="left" w:pos="851" w:leader="none"/>
                <w:tab w:val="left" w:pos="993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поликлиника ГБУЗ ЛО «Выборгская ДРБ»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Тосненская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клиническая межрайонная больница»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Тосненская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Тосненская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КМБ» педиатрическое отделение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Тосненской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поликлиники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здравоохранения Ленинградской области «Гатчинская клиническая межрайонная больница» (ГБУЗ ЛО «Гатчинская КМБ»)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ГБУЗ ЛО «Гатчинская КМБ»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поликлиника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здравоохранения Ленинградской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межрайонная больница им.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П.Н.Прохорова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поликлиника ГБУЗ ЛО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W w:w="978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организация третьей группы: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tcW w:w="704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9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Ленинградское областное государственное учреждение здравоохранения «Детская клиническая больница» (ЛОГБУЗ «ДКБ»)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44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Консультативно-диагностический центр ЛОГБУЗ «ДКБ»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98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r/>
      <w:r/>
    </w:p>
    <w:p>
      <w:pPr>
        <w:ind w:firstLine="0"/>
        <w:jc w:val="left"/>
      </w:pPr>
      <w:r>
        <w:br w:type="page" w:clear="all"/>
      </w:r>
      <w:r/>
    </w:p>
    <w:p>
      <w:pPr>
        <w:jc w:val="right"/>
        <w:rPr>
          <w:szCs w:val="28"/>
        </w:rPr>
      </w:pPr>
      <w:r>
        <w:rPr>
          <w:szCs w:val="28"/>
        </w:rPr>
        <w:t xml:space="preserve">Утверждена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приказом Комитета по здравоохранению 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Ленинградской области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от_________________2026 г. №______</w:t>
      </w:r>
      <w:r>
        <w:rPr>
          <w:szCs w:val="28"/>
        </w:rPr>
      </w:r>
      <w:r>
        <w:rPr>
          <w:szCs w:val="28"/>
        </w:rPr>
      </w:r>
    </w:p>
    <w:p>
      <w:pPr>
        <w:jc w:val="right"/>
        <w:rPr>
          <w:szCs w:val="28"/>
        </w:rPr>
      </w:pPr>
      <w:r>
        <w:rPr>
          <w:szCs w:val="28"/>
        </w:rPr>
        <w:t xml:space="preserve">(Приложение 4)</w:t>
      </w: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rPr>
          <w:b/>
          <w:bCs/>
          <w:szCs w:val="28"/>
          <w:highlight w:val="white"/>
        </w:rPr>
      </w:pPr>
      <w:r>
        <w:rPr>
          <w:b/>
          <w:bCs/>
          <w:szCs w:val="28"/>
          <w:highlight w:val="white"/>
        </w:rPr>
      </w:r>
      <w:r>
        <w:rPr>
          <w:b/>
          <w:bCs/>
          <w:szCs w:val="28"/>
          <w:highlight w:val="white"/>
        </w:rPr>
      </w:r>
      <w:r>
        <w:rPr>
          <w:b/>
          <w:bCs/>
          <w:szCs w:val="28"/>
          <w:highlight w:val="white"/>
        </w:rPr>
      </w:r>
    </w:p>
    <w:p>
      <w:pPr>
        <w:ind w:firstLine="0"/>
        <w:jc w:val="center"/>
        <w:rPr>
          <w:b/>
          <w:bCs/>
        </w:rPr>
      </w:pPr>
      <w:r>
        <w:rPr>
          <w:b/>
          <w:bCs/>
          <w:szCs w:val="28"/>
          <w:highlight w:val="white"/>
        </w:rPr>
        <w:t xml:space="preserve">Маршрутизация детей в медицинские организации 1 и 2 группы в  соответствии с т</w:t>
      </w:r>
      <w:r>
        <w:rPr>
          <w:rFonts w:eastAsia="Times New Roman"/>
          <w:b/>
          <w:bCs/>
          <w:szCs w:val="28"/>
          <w:highlight w:val="white"/>
          <w:lang w:eastAsia="ru-RU"/>
        </w:rPr>
        <w:t xml:space="preserve">ерриториальными границами меди</w:t>
      </w:r>
      <w:r>
        <w:rPr>
          <w:rFonts w:eastAsia="Times New Roman"/>
          <w:b/>
          <w:bCs/>
          <w:szCs w:val="28"/>
          <w:lang w:eastAsia="ru-RU"/>
        </w:rPr>
        <w:t xml:space="preserve">цинских округов Ленинградской области</w:t>
      </w:r>
      <w:r>
        <w:rPr>
          <w:b/>
          <w:bCs/>
        </w:rPr>
      </w:r>
      <w:r>
        <w:rPr>
          <w:b/>
          <w:bCs/>
        </w:rPr>
      </w:r>
    </w:p>
    <w:p>
      <w:pPr>
        <w:ind w:firstLine="0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tbl>
      <w:tblPr>
        <w:tblW w:w="10414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1"/>
        <w:gridCol w:w="2056"/>
        <w:gridCol w:w="2693"/>
        <w:gridCol w:w="1979"/>
        <w:gridCol w:w="3265"/>
      </w:tblGrid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N </w:t>
            </w:r>
            <w:r>
              <w:rPr>
                <w:rFonts w:eastAsia="Times New Roman"/>
                <w:szCs w:val="28"/>
                <w:lang w:eastAsia="ru-RU"/>
              </w:rPr>
              <w:t xml:space="preserve">п</w:t>
            </w:r>
            <w:r>
              <w:rPr>
                <w:rFonts w:eastAsia="Times New Roman"/>
                <w:szCs w:val="28"/>
                <w:lang w:eastAsia="ru-RU"/>
              </w:rPr>
              <w:t xml:space="preserve">/п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056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Наименование медицинского округа Ленинградской области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Территориальные границы медицинского округа Ленинградской области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Головная МО округа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3265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медицинские организации, входящие в состав медицинского округа Ленинградской области 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1.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056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Центральный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административных границах Всеволожского и Кировского муниципальных районов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«Всеволожская КМБ»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3265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«Кировская КМБ»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Токсовская</w:t>
            </w:r>
            <w:r>
              <w:rPr>
                <w:rFonts w:eastAsia="Times New Roman"/>
                <w:szCs w:val="28"/>
                <w:lang w:eastAsia="ru-RU"/>
              </w:rPr>
              <w:t xml:space="preserve"> КМБ»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Сертоловская</w:t>
            </w:r>
            <w:r>
              <w:rPr>
                <w:rFonts w:eastAsia="Times New Roman"/>
                <w:szCs w:val="28"/>
                <w:lang w:eastAsia="ru-RU"/>
              </w:rPr>
              <w:t xml:space="preserve"> ГБ»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ГАУЗ ЛО «Детский хоспис»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2.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056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Северный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административных границах </w:t>
            </w:r>
            <w:r>
              <w:rPr>
                <w:rFonts w:eastAsia="Times New Roman"/>
                <w:szCs w:val="28"/>
                <w:lang w:eastAsia="ru-RU"/>
              </w:rPr>
              <w:t xml:space="preserve">Выборгского</w:t>
            </w:r>
            <w:r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 xml:space="preserve">Приозерского</w:t>
            </w:r>
            <w:r>
              <w:rPr>
                <w:rFonts w:eastAsia="Times New Roman"/>
                <w:szCs w:val="28"/>
                <w:lang w:eastAsia="ru-RU"/>
              </w:rPr>
              <w:t xml:space="preserve"> муниципальных районов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Выборгская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3265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Приозерская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Рощинская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«Приморская РБ»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«Выборгская ДГБ»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«Выборгский роддом»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Выборгская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 (</w:t>
            </w:r>
            <w:r>
              <w:rPr>
                <w:rFonts w:eastAsia="Times New Roman"/>
                <w:szCs w:val="28"/>
                <w:lang w:eastAsia="ru-RU"/>
              </w:rPr>
              <w:t xml:space="preserve">Светогорская</w:t>
            </w:r>
            <w:r>
              <w:rPr>
                <w:rFonts w:eastAsia="Times New Roman"/>
                <w:szCs w:val="28"/>
                <w:lang w:eastAsia="ru-RU"/>
              </w:rPr>
              <w:t xml:space="preserve"> РБ)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Выборгская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 (</w:t>
            </w:r>
            <w:r>
              <w:rPr>
                <w:rFonts w:eastAsia="Times New Roman"/>
                <w:szCs w:val="28"/>
                <w:lang w:eastAsia="ru-RU"/>
              </w:rPr>
              <w:t xml:space="preserve">Каменногорская</w:t>
            </w:r>
            <w:r>
              <w:rPr>
                <w:rFonts w:eastAsia="Times New Roman"/>
                <w:szCs w:val="28"/>
                <w:lang w:eastAsia="ru-RU"/>
              </w:rPr>
              <w:t xml:space="preserve"> РБ)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Выборгская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 (Советская РБ)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ГКУЗ ЛО </w:t>
            </w:r>
            <w:r>
              <w:rPr>
                <w:rFonts w:eastAsia="Times New Roman"/>
                <w:szCs w:val="28"/>
                <w:lang w:eastAsia="ru-RU"/>
              </w:rPr>
              <w:t xml:space="preserve">«</w:t>
            </w:r>
            <w:r>
              <w:rPr>
                <w:rFonts w:eastAsia="Times New Roman"/>
                <w:szCs w:val="28"/>
                <w:lang w:eastAsia="ru-RU"/>
              </w:rPr>
              <w:t xml:space="preserve">Зеленохолмская</w:t>
            </w:r>
            <w:r>
              <w:rPr>
                <w:rFonts w:eastAsia="Times New Roman"/>
                <w:szCs w:val="28"/>
                <w:lang w:eastAsia="ru-RU"/>
              </w:rPr>
              <w:t xml:space="preserve"> туберкулезная больница»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ГКУЗ ЛО «Областная туберкулезная больница в городе Выборге»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ЛОГБУЗ ВМНД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3.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056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Южный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административных границах </w:t>
            </w:r>
            <w:r>
              <w:rPr>
                <w:rFonts w:eastAsia="Times New Roman"/>
                <w:szCs w:val="28"/>
                <w:lang w:eastAsia="ru-RU"/>
              </w:rPr>
              <w:t xml:space="preserve">Лужского</w:t>
            </w:r>
            <w:r>
              <w:rPr>
                <w:rFonts w:eastAsia="Times New Roman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szCs w:val="28"/>
                <w:lang w:eastAsia="ru-RU"/>
              </w:rPr>
              <w:t xml:space="preserve">Волосовского</w:t>
            </w:r>
            <w:r>
              <w:rPr>
                <w:rFonts w:eastAsia="Times New Roman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szCs w:val="28"/>
                <w:lang w:eastAsia="ru-RU"/>
              </w:rPr>
              <w:t xml:space="preserve">Тосненского</w:t>
            </w:r>
            <w:r>
              <w:rPr>
                <w:rFonts w:eastAsia="Times New Roman"/>
                <w:szCs w:val="28"/>
                <w:lang w:eastAsia="ru-RU"/>
              </w:rPr>
              <w:t xml:space="preserve"> муниципальных районов и Гатчинского муниципального округа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ind w:firstLine="0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"Гатчинская КМБ"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3265" w:type="dxa"/>
            <w:textDirection w:val="lrTb"/>
            <w:noWrap w:val="false"/>
          </w:tcPr>
          <w:p>
            <w:pPr>
              <w:ind w:firstLine="0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«Гатчинская КМБ» (</w:t>
            </w:r>
            <w:r>
              <w:rPr>
                <w:rFonts w:eastAsia="Times New Roman"/>
                <w:szCs w:val="28"/>
                <w:lang w:eastAsia="ru-RU"/>
              </w:rPr>
              <w:t xml:space="preserve">Вырицкая</w:t>
            </w:r>
            <w:r>
              <w:rPr>
                <w:rFonts w:eastAsia="Times New Roman"/>
                <w:szCs w:val="28"/>
                <w:lang w:eastAsia="ru-RU"/>
              </w:rPr>
              <w:t xml:space="preserve"> РБ)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Лужская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Волосовская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Тосненская</w:t>
            </w:r>
            <w:r>
              <w:rPr>
                <w:rFonts w:eastAsia="Times New Roman"/>
                <w:szCs w:val="28"/>
                <w:lang w:eastAsia="ru-RU"/>
              </w:rPr>
              <w:t xml:space="preserve"> КМБ»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ГКУЗ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Ульяновская</w:t>
            </w:r>
            <w:r>
              <w:rPr>
                <w:rFonts w:eastAsia="Times New Roman"/>
                <w:szCs w:val="28"/>
                <w:lang w:eastAsia="ru-RU"/>
              </w:rPr>
              <w:t xml:space="preserve"> ПБ»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ГКУЗ ЛО «ДПБ»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ЛОПЦ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4.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056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Восточный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административных границах Тихвинского, </w:t>
            </w:r>
            <w:r>
              <w:rPr>
                <w:rFonts w:eastAsia="Times New Roman"/>
                <w:szCs w:val="28"/>
                <w:lang w:eastAsia="ru-RU"/>
              </w:rPr>
              <w:t xml:space="preserve">Бокситогорского</w:t>
            </w:r>
            <w:r>
              <w:rPr>
                <w:rFonts w:eastAsia="Times New Roman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szCs w:val="28"/>
                <w:lang w:eastAsia="ru-RU"/>
              </w:rPr>
              <w:t xml:space="preserve">Волховского</w:t>
            </w:r>
            <w:r>
              <w:rPr>
                <w:rFonts w:eastAsia="Times New Roman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szCs w:val="28"/>
                <w:lang w:eastAsia="ru-RU"/>
              </w:rPr>
              <w:t xml:space="preserve">Киришского</w:t>
            </w:r>
            <w:r>
              <w:rPr>
                <w:rFonts w:eastAsia="Times New Roman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szCs w:val="28"/>
                <w:lang w:eastAsia="ru-RU"/>
              </w:rPr>
              <w:t xml:space="preserve">Лодейнопольского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szCs w:val="28"/>
                <w:lang w:eastAsia="ru-RU"/>
              </w:rPr>
              <w:t xml:space="preserve">Подпорожского</w:t>
            </w:r>
            <w:r>
              <w:rPr>
                <w:rFonts w:eastAsia="Times New Roman"/>
                <w:szCs w:val="28"/>
                <w:lang w:eastAsia="ru-RU"/>
              </w:rPr>
              <w:t xml:space="preserve"> муниципальных районов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Тихвинская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3265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Бокситогорская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Волховская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Киришская</w:t>
            </w:r>
            <w:r>
              <w:rPr>
                <w:rFonts w:eastAsia="Times New Roman"/>
                <w:szCs w:val="28"/>
                <w:lang w:eastAsia="ru-RU"/>
              </w:rPr>
              <w:t xml:space="preserve"> КМБ»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ГАУЗ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Киришская</w:t>
            </w:r>
            <w:r>
              <w:rPr>
                <w:rFonts w:eastAsia="Times New Roman"/>
                <w:szCs w:val="28"/>
                <w:lang w:eastAsia="ru-RU"/>
              </w:rPr>
              <w:t xml:space="preserve"> СП»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Лодейнопольская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Подпорожская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ГКУЗ ЛО </w:t>
            </w:r>
            <w:r>
              <w:rPr>
                <w:rFonts w:eastAsia="Times New Roman"/>
                <w:szCs w:val="28"/>
                <w:lang w:eastAsia="ru-RU"/>
              </w:rPr>
              <w:br/>
              <w:t xml:space="preserve">«Областная туберкулезная больница в г. Тихвине»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ЛОГКУЗ «Свирская психиатрическая больница»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ГКУЗ ЛО «ТПБ»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ind w:firstLine="0"/>
              <w:jc w:val="center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5.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056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Западный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административных границах </w:t>
            </w:r>
            <w:r>
              <w:rPr>
                <w:rFonts w:eastAsia="Times New Roman"/>
                <w:szCs w:val="28"/>
                <w:lang w:eastAsia="ru-RU"/>
              </w:rPr>
              <w:t xml:space="preserve">Кингисеппского</w:t>
            </w:r>
            <w:r>
              <w:rPr>
                <w:rFonts w:eastAsia="Times New Roman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szCs w:val="28"/>
                <w:lang w:eastAsia="ru-RU"/>
              </w:rPr>
              <w:t xml:space="preserve">Ломоносовского, </w:t>
            </w:r>
            <w:r>
              <w:rPr>
                <w:rFonts w:eastAsia="Times New Roman"/>
                <w:szCs w:val="28"/>
                <w:lang w:eastAsia="ru-RU"/>
              </w:rPr>
              <w:t xml:space="preserve">Сланцевского</w:t>
            </w:r>
            <w:r>
              <w:rPr>
                <w:rFonts w:eastAsia="Times New Roman"/>
                <w:szCs w:val="28"/>
                <w:lang w:eastAsia="ru-RU"/>
              </w:rPr>
              <w:t xml:space="preserve"> муниципальных районов и </w:t>
            </w:r>
            <w:r>
              <w:rPr>
                <w:rFonts w:eastAsia="Times New Roman"/>
                <w:szCs w:val="28"/>
                <w:lang w:eastAsia="ru-RU"/>
              </w:rPr>
              <w:t xml:space="preserve">Сосновоборского</w:t>
            </w:r>
            <w:r>
              <w:rPr>
                <w:rFonts w:eastAsia="Times New Roman"/>
                <w:szCs w:val="28"/>
                <w:lang w:eastAsia="ru-RU"/>
              </w:rPr>
              <w:t xml:space="preserve"> городского округа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1979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Кингисеппская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  <w:tc>
          <w:tcPr>
            <w:tcW w:w="3265" w:type="dxa"/>
            <w:textDirection w:val="lrTb"/>
            <w:noWrap w:val="false"/>
          </w:tcPr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«</w:t>
            </w:r>
            <w:r>
              <w:rPr>
                <w:rFonts w:eastAsia="Times New Roman"/>
                <w:szCs w:val="28"/>
                <w:lang w:eastAsia="ru-RU"/>
              </w:rPr>
              <w:t xml:space="preserve">Сланцевская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ГБУЗ ЛО </w:t>
            </w:r>
            <w:r>
              <w:rPr>
                <w:rFonts w:eastAsia="Times New Roman"/>
                <w:szCs w:val="28"/>
                <w:lang w:eastAsia="ru-RU"/>
              </w:rPr>
              <w:t xml:space="preserve">«</w:t>
            </w:r>
            <w:r>
              <w:rPr>
                <w:rFonts w:eastAsia="Times New Roman"/>
                <w:szCs w:val="28"/>
                <w:lang w:eastAsia="ru-RU"/>
              </w:rPr>
              <w:t xml:space="preserve">Ломоносовская</w:t>
            </w:r>
            <w:r>
              <w:rPr>
                <w:rFonts w:eastAsia="Times New Roman"/>
                <w:szCs w:val="28"/>
                <w:lang w:eastAsia="ru-RU"/>
              </w:rPr>
              <w:t xml:space="preserve"> МБ»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  <w:p>
            <w:pPr>
              <w:ind w:firstLine="0"/>
              <w:jc w:val="left"/>
              <w:widowControl w:val="off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ФГБУЗ ЦМСЧ № 38 ФМБА России</w:t>
            </w:r>
            <w:r>
              <w:rPr>
                <w:rFonts w:eastAsia="Times New Roman"/>
                <w:szCs w:val="28"/>
                <w:lang w:eastAsia="ru-RU"/>
              </w:rPr>
            </w:r>
            <w:r>
              <w:rPr>
                <w:rFonts w:eastAsia="Times New Roman"/>
                <w:szCs w:val="28"/>
                <w:lang w:eastAsia="ru-RU"/>
              </w:rPr>
            </w:r>
          </w:p>
        </w:tc>
      </w:tr>
    </w:tbl>
    <w:p>
      <w:pPr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rPr>
          <w:rFonts w:eastAsia="Times New Roman"/>
          <w:szCs w:val="20"/>
          <w:lang w:eastAsia="ru-RU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0</wp:posOffset>
                </wp:positionV>
                <wp:extent cx="6448425" cy="4791075"/>
                <wp:effectExtent l="0" t="0" r="9525" b="9525"/>
                <wp:wrapTopAndBottom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6448425" cy="479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-35.55pt;mso-position-horizontal:absolute;mso-position-vertical-relative:text;margin-top:0.00pt;mso-position-vertical:absolute;width:507.75pt;height:377.25pt;mso-wrap-distance-left:9.00pt;mso-wrap-distance-top:0.00pt;mso-wrap-distance-right:9.00pt;mso-wrap-distance-bottom:0.00pt;" stroked="f">
                <v:path textboxrect="0,0,0,0"/>
                <w10:wrap type="topAndBottom"/>
                <v:imagedata r:id="rId32" o:title=""/>
              </v:shape>
            </w:pict>
          </mc:Fallback>
        </mc:AlternateConten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</w:r>
    </w:p>
    <w:p>
      <w:pPr>
        <w:rPr>
          <w:lang w:eastAsia="ru-RU"/>
        </w:rPr>
      </w:pPr>
      <w:r>
        <w:rPr>
          <w:lang w:eastAsia="ru-RU"/>
        </w:rPr>
        <w:br w:type="page" w:clear="all"/>
      </w:r>
      <w:r>
        <w:rPr>
          <w:lang w:eastAsia="ru-RU"/>
        </w:rPr>
      </w:r>
      <w:r>
        <w:rPr>
          <w:lang w:eastAsia="ru-RU"/>
        </w:rPr>
      </w:r>
    </w:p>
    <w:p>
      <w:pPr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Утвержден</w:t>
      </w: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pPr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приказом Комитета по здравоохранению </w:t>
      </w: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pPr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Ленинградской области</w:t>
      </w: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pPr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от_________________2026 г. №______</w:t>
      </w: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pPr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(Приложение 5</w:t>
      </w:r>
      <w:r>
        <w:rPr>
          <w:szCs w:val="28"/>
          <w:lang w:eastAsia="ru-RU"/>
        </w:rPr>
        <w:t xml:space="preserve">)</w:t>
      </w:r>
      <w:r>
        <w:rPr>
          <w:szCs w:val="28"/>
          <w:lang w:eastAsia="ru-RU"/>
        </w:rPr>
      </w:r>
      <w:r>
        <w:rPr>
          <w:szCs w:val="28"/>
          <w:lang w:eastAsia="ru-RU"/>
        </w:rPr>
      </w:r>
    </w:p>
    <w:p>
      <w:r/>
      <w:r/>
    </w:p>
    <w:p>
      <w:pPr>
        <w:rPr>
          <w:b/>
          <w:bCs/>
        </w:rPr>
      </w:pPr>
      <w:r/>
      <w:bookmarkStart w:id="12" w:name="_Hlk232070875"/>
      <w:r>
        <w:rPr>
          <w:b/>
          <w:bCs/>
        </w:rPr>
        <w:t xml:space="preserve">Перечень показаний для направления на госпитализацию в ЛОГБУЗ «ДКБ» детей с соматическими заболеваниями из медицинских организаций Ленинградской области 1 и 2 группы, оказывающих медицинскую помощь в амбулаторных и стационарных условиях.</w:t>
      </w:r>
      <w:bookmarkEnd w:id="12"/>
      <w:r>
        <w:rPr>
          <w:b/>
          <w:bCs/>
        </w:rPr>
      </w:r>
      <w:r>
        <w:rPr>
          <w:b/>
          <w:bCs/>
        </w:rPr>
      </w:r>
    </w:p>
    <w:p>
      <w:r/>
      <w:r/>
    </w:p>
    <w:p>
      <w:pPr>
        <w:pStyle w:val="975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Показания для госпитализации в педиатрическое отделение: 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Нарушения обмена глюкозы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R73 Повышенное содержание глюкозы в крови (за исключением сахарного диабета)</w:t>
      </w:r>
      <w:r/>
    </w:p>
    <w:p>
      <w:r>
        <w:t xml:space="preserve">R73.0 Отклонения результатов нормы теста на толерантность к глюкозе</w:t>
      </w:r>
      <w:r/>
    </w:p>
    <w:p>
      <w:r>
        <w:t xml:space="preserve">R73.9 Гипергликемия неуточненная</w:t>
      </w:r>
      <w:r/>
    </w:p>
    <w:p>
      <w:r>
        <w:t xml:space="preserve">R81 </w:t>
      </w:r>
      <w:r>
        <w:t xml:space="preserve">Глюкозурия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Заболевания гипофиза, дети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D35.2 Доброкачественное новообразование других и неуточненных желез / Гипофиза</w:t>
      </w:r>
      <w:r/>
    </w:p>
    <w:p>
      <w:r>
        <w:t xml:space="preserve">E22 Гиперфункция гипофиза</w:t>
      </w:r>
      <w:r/>
    </w:p>
    <w:p>
      <w:r>
        <w:t xml:space="preserve">E22.0 Акромегалия и гипофизарный гигантизм</w:t>
      </w:r>
      <w:r/>
    </w:p>
    <w:p>
      <w:r>
        <w:t xml:space="preserve">E22.1 </w:t>
      </w:r>
      <w:r>
        <w:t xml:space="preserve">Гиперпролактинемия</w:t>
      </w:r>
      <w:r/>
    </w:p>
    <w:p>
      <w:r>
        <w:t xml:space="preserve">E22.2 Синдром неадекватной секреции антидиуретического гормона</w:t>
      </w:r>
      <w:r/>
    </w:p>
    <w:p>
      <w:r>
        <w:t xml:space="preserve">E22.8 Другие состояния гиперфункции гипофиза</w:t>
      </w:r>
      <w:r/>
    </w:p>
    <w:p>
      <w:r>
        <w:t xml:space="preserve">E22.9 Гиперфункция гипофиза неуточненная</w:t>
      </w:r>
      <w:r/>
    </w:p>
    <w:p>
      <w:r>
        <w:t xml:space="preserve">E23 Гипофункция и другие нарушения гипофиза</w:t>
      </w:r>
      <w:r/>
    </w:p>
    <w:p>
      <w:r>
        <w:t xml:space="preserve">E23.0 </w:t>
      </w:r>
      <w:r>
        <w:t xml:space="preserve">Гипопитуитаризм</w:t>
      </w:r>
      <w:r/>
    </w:p>
    <w:p>
      <w:r>
        <w:t xml:space="preserve">E23.2 Несахарный диабет</w:t>
      </w:r>
      <w:r/>
    </w:p>
    <w:p>
      <w:r>
        <w:t xml:space="preserve">E23.6 Другие болезни гипофиза</w:t>
      </w:r>
      <w:r/>
    </w:p>
    <w:p>
      <w:r>
        <w:t xml:space="preserve">E24.0 Болезнь Иценко-</w:t>
      </w:r>
      <w:r>
        <w:t xml:space="preserve">Кушинга</w:t>
      </w:r>
      <w:r>
        <w:t xml:space="preserve"> гипофизарного происхождения</w:t>
      </w:r>
      <w:r/>
    </w:p>
    <w:p>
      <w:r>
        <w:t xml:space="preserve">E24.2 Медикаментозный синдром Иценко-</w:t>
      </w:r>
      <w:r>
        <w:t xml:space="preserve">Кушинга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Другие болезни эндокринной системы, дети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E02 Субклинический гипотиреоз вследствие йодной недостаточности</w:t>
      </w:r>
      <w:r/>
    </w:p>
    <w:p>
      <w:r>
        <w:t xml:space="preserve">E03.0 Врожденный гипотиреоз с диффузным зобом</w:t>
      </w:r>
      <w:r/>
    </w:p>
    <w:p>
      <w:r>
        <w:t xml:space="preserve">E03.1 Врожденный гипотиреоз без зоба</w:t>
      </w:r>
      <w:r/>
    </w:p>
    <w:p>
      <w:r>
        <w:t xml:space="preserve">E03.8 Другие уточненные гипотиреозы</w:t>
      </w:r>
      <w:r/>
    </w:p>
    <w:p>
      <w:r>
        <w:t xml:space="preserve">E04.0 Нетоксический диффузный зоб</w:t>
      </w:r>
      <w:r/>
    </w:p>
    <w:p>
      <w:r>
        <w:t xml:space="preserve">E04.1 Нетоксический одноузловой зоб (амбулаторно в КДЦ для определения маршрутизации)</w:t>
      </w:r>
      <w:r/>
    </w:p>
    <w:p>
      <w:r>
        <w:t xml:space="preserve">E04.2 Нетоксический </w:t>
      </w:r>
      <w:r>
        <w:t xml:space="preserve">многоузловой</w:t>
      </w:r>
      <w:r>
        <w:t xml:space="preserve"> зоб  (амбулаторно в КДЦ для определения маршрутизации)</w:t>
      </w:r>
      <w:r/>
    </w:p>
    <w:p>
      <w:r>
        <w:t xml:space="preserve">E05 Тиреотоксикоз [гипертиреоз]</w:t>
      </w:r>
      <w:r/>
    </w:p>
    <w:p>
      <w:r>
        <w:t xml:space="preserve">E05.0 Тиреотоксикоз с диффузным зобом</w:t>
      </w:r>
      <w:r/>
    </w:p>
    <w:p>
      <w:r>
        <w:t xml:space="preserve">E06 </w:t>
      </w:r>
      <w:r>
        <w:t xml:space="preserve">Тиреоидит</w:t>
      </w:r>
      <w:r/>
    </w:p>
    <w:p>
      <w:r>
        <w:t xml:space="preserve">E06.3 Аутоиммунный </w:t>
      </w:r>
      <w:r>
        <w:t xml:space="preserve">тиреоидит</w:t>
      </w:r>
      <w:r/>
    </w:p>
    <w:p>
      <w:r>
        <w:t xml:space="preserve">E25 Адреногенитальные расстройства</w:t>
      </w:r>
      <w:r/>
    </w:p>
    <w:p>
      <w:r>
        <w:t xml:space="preserve">E25.0 Врожденные адреногенитальные нарушения, связанные с дефицитом ферментов</w:t>
      </w:r>
      <w:r/>
    </w:p>
    <w:p>
      <w:r>
        <w:t xml:space="preserve">E25.8 Другие адреногенитальные нарушения</w:t>
      </w:r>
      <w:r/>
    </w:p>
    <w:p>
      <w:r>
        <w:t xml:space="preserve">E27.0 Другие виды гиперсекреции коры надпочечников</w:t>
      </w:r>
      <w:r/>
    </w:p>
    <w:p>
      <w:r>
        <w:t xml:space="preserve">E27.8 Другие уточненные нарушения надпочечников</w:t>
      </w:r>
      <w:r/>
    </w:p>
    <w:p>
      <w:r>
        <w:t xml:space="preserve">E30 Нарушения полового созревания, не классифицированные в других рубриках</w:t>
      </w:r>
      <w:r/>
    </w:p>
    <w:p>
      <w:r>
        <w:t xml:space="preserve">E30.0 Задержка полового созревания</w:t>
      </w:r>
      <w:r/>
    </w:p>
    <w:p>
      <w:r>
        <w:t xml:space="preserve">E30.1 Преждевременное половое созревание</w:t>
      </w:r>
      <w:r/>
    </w:p>
    <w:p>
      <w:r>
        <w:t xml:space="preserve">E30.8 Другие нарушения полового созревания</w:t>
      </w:r>
      <w:r/>
    </w:p>
    <w:p>
      <w:r>
        <w:t xml:space="preserve">E30.9 Нарушение полового созревания неуточненное</w:t>
      </w:r>
      <w:r/>
    </w:p>
    <w:p>
      <w:r>
        <w:t xml:space="preserve">E34.3 Низкорослость [карликовость], не классифицированная в других рубриках</w:t>
      </w:r>
      <w:r/>
    </w:p>
    <w:p>
      <w:r>
        <w:t xml:space="preserve">E34.4 Конституциональная высокорослость</w:t>
      </w:r>
      <w:r/>
    </w:p>
    <w:p>
      <w:r>
        <w:t xml:space="preserve">Е20.0 Идиопатический </w:t>
      </w:r>
      <w:r>
        <w:t xml:space="preserve">гипопаратиреоз</w:t>
      </w:r>
      <w:r/>
    </w:p>
    <w:p>
      <w:r>
        <w:t xml:space="preserve">Е20.8 Другие формы </w:t>
      </w:r>
      <w:r>
        <w:t xml:space="preserve">гипопаратиреоза</w:t>
      </w:r>
      <w:r/>
    </w:p>
    <w:p>
      <w:r>
        <w:t xml:space="preserve">Е21.0 Первичный </w:t>
      </w:r>
      <w:r>
        <w:t xml:space="preserve">гиперпаратиреоз</w:t>
      </w:r>
      <w:r/>
    </w:p>
    <w:p>
      <w:r>
        <w:t xml:space="preserve">Е21.1 Вторичный </w:t>
      </w:r>
      <w:r>
        <w:t xml:space="preserve">гиперпаратиреоз</w:t>
      </w:r>
      <w:r/>
    </w:p>
    <w:p>
      <w:r>
        <w:t xml:space="preserve">Е21.2 Другие формы </w:t>
      </w:r>
      <w:r>
        <w:t xml:space="preserve">гиперпаратиреоз</w:t>
      </w:r>
      <w:r/>
    </w:p>
    <w:p>
      <w:r>
        <w:t xml:space="preserve">Е24 Синдром Иценк</w:t>
      </w:r>
      <w:r>
        <w:t xml:space="preserve">о-</w:t>
      </w:r>
      <w:r>
        <w:t xml:space="preserve"> </w:t>
      </w:r>
      <w:r>
        <w:t xml:space="preserve">Кушинга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Другие болезни эндокринной системы, дети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E16.1 Другие формы гипогликемии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Расстройства питания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E43 Тяжелая </w:t>
      </w:r>
      <w:r>
        <w:t xml:space="preserve">белково</w:t>
      </w:r>
      <w:r>
        <w:t xml:space="preserve">-энергетическая недостаточность неуточненная</w:t>
      </w:r>
      <w:r/>
    </w:p>
    <w:p>
      <w:r>
        <w:t xml:space="preserve">E44 </w:t>
      </w:r>
      <w:r>
        <w:t xml:space="preserve">Белково</w:t>
      </w:r>
      <w:r>
        <w:t xml:space="preserve">-энергетическая недостаточность умеренной и слабой степени</w:t>
      </w:r>
      <w:r/>
    </w:p>
    <w:p>
      <w:r>
        <w:t xml:space="preserve">E44.0 Умеренная </w:t>
      </w:r>
      <w:r>
        <w:t xml:space="preserve">белково</w:t>
      </w:r>
      <w:r>
        <w:t xml:space="preserve">-энергетическая недостаточность</w:t>
      </w:r>
      <w:r/>
    </w:p>
    <w:p>
      <w:r>
        <w:t xml:space="preserve">E44.1 Легкая </w:t>
      </w:r>
      <w:r>
        <w:t xml:space="preserve">белково</w:t>
      </w:r>
      <w:r>
        <w:t xml:space="preserve">-энергетическая недостаточность</w:t>
      </w:r>
      <w:r/>
    </w:p>
    <w:p>
      <w:r>
        <w:t xml:space="preserve">E45 Задержка развития, обусловленная </w:t>
      </w:r>
      <w:r>
        <w:t xml:space="preserve">белково</w:t>
      </w:r>
      <w:r>
        <w:t xml:space="preserve">-энергетической недостаточностью</w:t>
      </w:r>
      <w:r/>
    </w:p>
    <w:p>
      <w:r>
        <w:t xml:space="preserve">E55.9 Недостаточность витамина D неуточненная</w:t>
      </w:r>
      <w:r/>
    </w:p>
    <w:p>
      <w:r>
        <w:t xml:space="preserve">E66 Ожирение</w:t>
      </w:r>
      <w:r/>
    </w:p>
    <w:p>
      <w:r>
        <w:t xml:space="preserve">E66.0 Ожирение, обусловленное избыточным поступлением энергетических ресурсов</w:t>
      </w:r>
      <w:r/>
    </w:p>
    <w:p>
      <w:r>
        <w:t xml:space="preserve">E66.8 Другие формы ожирения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Другие нарушения обмена веществ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E80.4 Синдром </w:t>
      </w:r>
      <w:r>
        <w:t xml:space="preserve">Жильбера</w:t>
      </w:r>
      <w:r/>
    </w:p>
    <w:p>
      <w:r>
        <w:t xml:space="preserve">E83 Нарушения минерального обмена</w:t>
      </w:r>
      <w:r/>
    </w:p>
    <w:p>
      <w:r>
        <w:t xml:space="preserve">E83.8 Другие нарушения минерального обмена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Воспалительные заболевания кишечника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K50 Болезнь Крона [регионарный энтерит]</w:t>
      </w:r>
      <w:r/>
    </w:p>
    <w:p>
      <w:r>
        <w:t xml:space="preserve">K50.0 Болезнь Крона тонкой кишки</w:t>
      </w:r>
      <w:r/>
    </w:p>
    <w:p>
      <w:r>
        <w:t xml:space="preserve">K50.1 Болезнь Крона толстой кишки</w:t>
      </w:r>
      <w:r/>
    </w:p>
    <w:p>
      <w:r>
        <w:t xml:space="preserve">K50.8 Другие разновидности болезни Крона</w:t>
      </w:r>
      <w:r/>
    </w:p>
    <w:p>
      <w:r>
        <w:t xml:space="preserve">K50.9 Болезнь Крона неуточненная</w:t>
      </w:r>
      <w:r/>
    </w:p>
    <w:p>
      <w:r>
        <w:t xml:space="preserve">K51 Язвенный колит</w:t>
      </w:r>
      <w:r/>
    </w:p>
    <w:p>
      <w:r>
        <w:t xml:space="preserve">K51.0 Язвенный (хронический) энтероколит</w:t>
      </w:r>
      <w:r/>
    </w:p>
    <w:p>
      <w:r>
        <w:t xml:space="preserve">K51.1 Язвенный (хронический) </w:t>
      </w:r>
      <w:r>
        <w:t xml:space="preserve">илеоколит</w:t>
      </w:r>
      <w:r/>
    </w:p>
    <w:p>
      <w:r>
        <w:t xml:space="preserve">K51.2 Язвенный (хронический) проктит</w:t>
      </w:r>
      <w:r/>
    </w:p>
    <w:p>
      <w:r>
        <w:t xml:space="preserve">K51.3 Язвенный (хронический) </w:t>
      </w:r>
      <w:r>
        <w:t xml:space="preserve">ректосигмоидит</w:t>
      </w:r>
      <w:r/>
    </w:p>
    <w:p>
      <w:r>
        <w:t xml:space="preserve">K51.9 Язвенный колит неуточненный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Воспалительные </w:t>
      </w:r>
      <w:r>
        <w:rPr>
          <w:rFonts w:ascii="Times New Roman" w:hAnsi="Times New Roman" w:cs="Times New Roman"/>
          <w:color w:val="auto"/>
        </w:rPr>
        <w:t xml:space="preserve">артропатии</w:t>
      </w:r>
      <w:r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 xml:space="preserve">спондилопатии</w:t>
      </w:r>
      <w:r>
        <w:rPr>
          <w:rFonts w:ascii="Times New Roman" w:hAnsi="Times New Roman" w:cs="Times New Roman"/>
          <w:color w:val="auto"/>
        </w:rPr>
        <w:t xml:space="preserve">, дети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M08.0 Юношеский ревматоидный артрит</w:t>
      </w:r>
      <w:r/>
    </w:p>
    <w:p>
      <w:r>
        <w:t xml:space="preserve">M08.1 Юношеский </w:t>
      </w:r>
      <w:r>
        <w:t xml:space="preserve">анкилозирующий</w:t>
      </w:r>
      <w:r>
        <w:t xml:space="preserve"> спондилит</w:t>
      </w:r>
      <w:r/>
    </w:p>
    <w:p>
      <w:r>
        <w:t xml:space="preserve">M08.2 Юношеский артрит с системным началом</w:t>
      </w:r>
      <w:r/>
    </w:p>
    <w:p>
      <w:r>
        <w:t xml:space="preserve">M08.3 Юношеский полиартрит (</w:t>
      </w:r>
      <w:r>
        <w:t xml:space="preserve">серонегативный</w:t>
      </w:r>
      <w:r>
        <w:t xml:space="preserve">)</w:t>
      </w:r>
      <w:r/>
    </w:p>
    <w:p>
      <w:r>
        <w:t xml:space="preserve">M08.4 </w:t>
      </w:r>
      <w:r>
        <w:t xml:space="preserve">Пауртикулярный</w:t>
      </w:r>
      <w:r>
        <w:t xml:space="preserve"> юношеский артрит</w:t>
      </w:r>
      <w:r/>
    </w:p>
    <w:p>
      <w:r>
        <w:t xml:space="preserve">M08.8 Другие юношеские артриты</w:t>
      </w:r>
      <w:r/>
    </w:p>
    <w:p>
      <w:r>
        <w:t xml:space="preserve">M08.9 Юношеский артрит неуточненный</w:t>
      </w:r>
      <w:r/>
    </w:p>
    <w:p>
      <w:r>
        <w:t xml:space="preserve">M33.0 Юношеский дерматомиозит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Системные поражения соединительной ткани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M30.0 Узелковый </w:t>
      </w:r>
      <w:r>
        <w:t xml:space="preserve">полиартериит</w:t>
      </w:r>
      <w:r/>
    </w:p>
    <w:p>
      <w:r>
        <w:t xml:space="preserve">M30.1 </w:t>
      </w:r>
      <w:r>
        <w:t xml:space="preserve">Полиартериит</w:t>
      </w:r>
      <w:r>
        <w:t xml:space="preserve"> с поражением легких [</w:t>
      </w:r>
      <w:r>
        <w:t xml:space="preserve">Черджа-Стросса</w:t>
      </w:r>
      <w:r>
        <w:t xml:space="preserve">]</w:t>
      </w:r>
      <w:r/>
    </w:p>
    <w:p>
      <w:r>
        <w:t xml:space="preserve">M30.3 </w:t>
      </w:r>
      <w:r>
        <w:t xml:space="preserve">Слизисто</w:t>
      </w:r>
      <w:r>
        <w:t xml:space="preserve">-кожный </w:t>
      </w:r>
      <w:r>
        <w:t xml:space="preserve">лимфонодулярный</w:t>
      </w:r>
      <w:r>
        <w:t xml:space="preserve"> синдром [Кавасаки]</w:t>
      </w:r>
      <w:r/>
    </w:p>
    <w:p>
      <w:r>
        <w:t xml:space="preserve">M30.8 Другие состояния, связанные с </w:t>
      </w:r>
      <w:r>
        <w:t xml:space="preserve">узелковым</w:t>
      </w:r>
      <w:r>
        <w:t xml:space="preserve"> </w:t>
      </w:r>
      <w:r>
        <w:t xml:space="preserve">полиартериитом</w:t>
      </w:r>
      <w:r/>
    </w:p>
    <w:p>
      <w:r>
        <w:t xml:space="preserve">M31.0 Гиперчувствительный </w:t>
      </w:r>
      <w:r>
        <w:t xml:space="preserve">ангиит</w:t>
      </w:r>
      <w:r/>
    </w:p>
    <w:p>
      <w:r>
        <w:t xml:space="preserve">M31.1 Тромботическая микроангиопатия</w:t>
      </w:r>
      <w:r/>
    </w:p>
    <w:p>
      <w:r>
        <w:t xml:space="preserve">M31.3 </w:t>
      </w:r>
      <w:r>
        <w:t xml:space="preserve">Гранулематоз</w:t>
      </w:r>
      <w:r>
        <w:t xml:space="preserve"> </w:t>
      </w:r>
      <w:r>
        <w:t xml:space="preserve">Вегенера</w:t>
      </w:r>
      <w:r/>
    </w:p>
    <w:p>
      <w:r>
        <w:t xml:space="preserve">M31.4 Синдром дуги аорты [</w:t>
      </w:r>
      <w:r>
        <w:t xml:space="preserve">Такаясу</w:t>
      </w:r>
      <w:r>
        <w:t xml:space="preserve">]</w:t>
      </w:r>
      <w:r/>
    </w:p>
    <w:p>
      <w:r>
        <w:t xml:space="preserve">M31.5 Гигантоклеточный артериит с </w:t>
      </w:r>
      <w:r>
        <w:t xml:space="preserve">ревматической</w:t>
      </w:r>
      <w:r>
        <w:t xml:space="preserve"> </w:t>
      </w:r>
      <w:r>
        <w:t xml:space="preserve">полимиалгией</w:t>
      </w:r>
      <w:r/>
    </w:p>
    <w:p>
      <w:r>
        <w:t xml:space="preserve">M31.6 Другие гигантоклеточные артерииты</w:t>
      </w:r>
      <w:r/>
    </w:p>
    <w:p>
      <w:r>
        <w:t xml:space="preserve">M31.7 Микроскопический </w:t>
      </w:r>
      <w:r>
        <w:t xml:space="preserve">полиангиит</w:t>
      </w:r>
      <w:r/>
    </w:p>
    <w:p>
      <w:r>
        <w:t xml:space="preserve">M31.8 Другие уточненные </w:t>
      </w:r>
      <w:r>
        <w:t xml:space="preserve">некротизирующие</w:t>
      </w:r>
      <w:r>
        <w:t xml:space="preserve"> </w:t>
      </w:r>
      <w:r>
        <w:t xml:space="preserve">васкулопатии</w:t>
      </w:r>
      <w:r/>
    </w:p>
    <w:p>
      <w:r>
        <w:t xml:space="preserve">M31.9 </w:t>
      </w:r>
      <w:r>
        <w:t xml:space="preserve">Некротизирующая</w:t>
      </w:r>
      <w:r>
        <w:t xml:space="preserve"> </w:t>
      </w:r>
      <w:r>
        <w:t xml:space="preserve">васкулопатия</w:t>
      </w:r>
      <w:r>
        <w:t xml:space="preserve"> неуточненная</w:t>
      </w:r>
      <w:r/>
    </w:p>
    <w:p>
      <w:r>
        <w:t xml:space="preserve">M32.0 Лекарственная системная красная волчанка</w:t>
      </w:r>
      <w:r/>
    </w:p>
    <w:p>
      <w:r>
        <w:t xml:space="preserve">M32.1 Системная красная волчанка с поражением других органов или систем</w:t>
      </w:r>
      <w:r/>
    </w:p>
    <w:p>
      <w:r>
        <w:t xml:space="preserve">M32.8 Другие формы системной красной волчанки</w:t>
      </w:r>
      <w:r/>
    </w:p>
    <w:p>
      <w:r>
        <w:t xml:space="preserve">M32.9 Системная красная волчанка неуточненная</w:t>
      </w:r>
      <w:r/>
    </w:p>
    <w:p>
      <w:r>
        <w:t xml:space="preserve">M33.1 Другие дерматомиозиты</w:t>
      </w:r>
      <w:r/>
    </w:p>
    <w:p>
      <w:r>
        <w:t xml:space="preserve">M33.2 </w:t>
      </w:r>
      <w:r>
        <w:t xml:space="preserve">Полимиозит</w:t>
      </w:r>
      <w:r/>
    </w:p>
    <w:p>
      <w:r>
        <w:t xml:space="preserve">M33.9 </w:t>
      </w:r>
      <w:r>
        <w:t xml:space="preserve">Дерматополимиозит</w:t>
      </w:r>
      <w:r>
        <w:t xml:space="preserve"> неуточненный</w:t>
      </w:r>
      <w:r/>
    </w:p>
    <w:p>
      <w:r>
        <w:t xml:space="preserve">M34.0 Прогрессирующий системный склероз</w:t>
      </w:r>
      <w:r/>
    </w:p>
    <w:p>
      <w:r>
        <w:t xml:space="preserve">M34.1 Синдром </w:t>
      </w:r>
      <w:r>
        <w:t xml:space="preserve">cr</w:t>
      </w:r>
      <w:r>
        <w:t xml:space="preserve"> (e) </w:t>
      </w:r>
      <w:r>
        <w:t xml:space="preserve">st</w:t>
      </w:r>
      <w:r/>
    </w:p>
    <w:p>
      <w:r>
        <w:t xml:space="preserve">M34.2 Системный склероз, вызванный лекарственными средствами и химическими соединениями</w:t>
      </w:r>
      <w:r/>
    </w:p>
    <w:p>
      <w:r>
        <w:t xml:space="preserve">M34.8 Другие формы системного склероза</w:t>
      </w:r>
      <w:r/>
    </w:p>
    <w:p>
      <w:r>
        <w:t xml:space="preserve">M34.9 Системный склероз неуточненный</w:t>
      </w:r>
      <w:r/>
    </w:p>
    <w:p>
      <w:r>
        <w:t xml:space="preserve">M35.0 Сухой синдром [</w:t>
      </w:r>
      <w:r>
        <w:t xml:space="preserve">Шегнера</w:t>
      </w:r>
      <w:r>
        <w:t xml:space="preserve">]</w:t>
      </w:r>
      <w:r/>
    </w:p>
    <w:p>
      <w:r>
        <w:t xml:space="preserve">M35.1 Другие перекрестные синдромы</w:t>
      </w:r>
      <w:r/>
    </w:p>
    <w:p>
      <w:r>
        <w:t xml:space="preserve">M35.2 Болезнь </w:t>
      </w:r>
      <w:r>
        <w:t xml:space="preserve">Бехчета</w:t>
      </w:r>
      <w:r/>
    </w:p>
    <w:p>
      <w:r>
        <w:t xml:space="preserve">M35.3 Ревматическая </w:t>
      </w:r>
      <w:r>
        <w:t xml:space="preserve">полимиалгия</w:t>
      </w:r>
      <w:r/>
    </w:p>
    <w:p>
      <w:r>
        <w:t xml:space="preserve">M35.4 Диффузный (эозинофильный) </w:t>
      </w:r>
      <w:r>
        <w:t xml:space="preserve">фасциит</w:t>
      </w:r>
      <w:r/>
    </w:p>
    <w:p>
      <w:r>
        <w:t xml:space="preserve">M35.5 Многоочаговый </w:t>
      </w:r>
      <w:r>
        <w:t xml:space="preserve">фибросклероз</w:t>
      </w:r>
      <w:r/>
    </w:p>
    <w:p>
      <w:r>
        <w:t xml:space="preserve">M35.6 Рецидивирующий </w:t>
      </w:r>
      <w:r>
        <w:t xml:space="preserve">панникулит</w:t>
      </w:r>
      <w:r>
        <w:t xml:space="preserve"> Вебера-</w:t>
      </w:r>
      <w:r>
        <w:t xml:space="preserve">Крисчена</w:t>
      </w:r>
      <w:r/>
    </w:p>
    <w:p>
      <w:r>
        <w:t xml:space="preserve">M35.8 Другие уточненные системные поражения соединительной ткани</w:t>
      </w:r>
      <w:r/>
    </w:p>
    <w:p>
      <w:r>
        <w:t xml:space="preserve">M35.9 Системные поражения соединительной ткани неуточненные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Артропатии</w:t>
      </w:r>
      <w:r>
        <w:rPr>
          <w:rFonts w:ascii="Times New Roman" w:hAnsi="Times New Roman" w:cs="Times New Roman"/>
          <w:color w:val="auto"/>
        </w:rPr>
        <w:t xml:space="preserve"> и </w:t>
      </w:r>
      <w:r>
        <w:rPr>
          <w:rFonts w:ascii="Times New Roman" w:hAnsi="Times New Roman" w:cs="Times New Roman"/>
          <w:color w:val="auto"/>
        </w:rPr>
        <w:t xml:space="preserve">спондилопатии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I00 Ревматическая лихорадка без упоминания о вовлечении сердца</w:t>
      </w:r>
      <w:r/>
    </w:p>
    <w:p>
      <w:r>
        <w:t xml:space="preserve">M02 Реактивные </w:t>
      </w:r>
      <w:r>
        <w:t xml:space="preserve">артропатии</w:t>
      </w:r>
      <w:r/>
    </w:p>
    <w:p>
      <w:r>
        <w:t xml:space="preserve">M02.3 Болезнь Рейтера</w:t>
      </w:r>
      <w:r/>
    </w:p>
    <w:p>
      <w:r>
        <w:t xml:space="preserve">M02.8 Другие реактивные </w:t>
      </w:r>
      <w:r>
        <w:t xml:space="preserve">артропатии</w:t>
      </w:r>
      <w:r/>
    </w:p>
    <w:p>
      <w:r>
        <w:t xml:space="preserve">M02.9 Реактивная </w:t>
      </w:r>
      <w:r>
        <w:t xml:space="preserve">артропатия</w:t>
      </w:r>
      <w:r>
        <w:t xml:space="preserve"> неуточненная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Ревматические болезни сердца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I01 Ревматическая лихорадка с вовлечением сердца</w:t>
      </w:r>
      <w:r/>
    </w:p>
    <w:p>
      <w:r>
        <w:t xml:space="preserve">I01.0 Острый ревматический перикардит</w:t>
      </w:r>
      <w:r/>
    </w:p>
    <w:p>
      <w:r>
        <w:t xml:space="preserve">I01.1 Острый ревматический эндокардит</w:t>
      </w:r>
      <w:r/>
    </w:p>
    <w:p>
      <w:r>
        <w:t xml:space="preserve">I01.2 Острый ревматический миокардит</w:t>
      </w:r>
      <w:r/>
    </w:p>
    <w:p>
      <w:r>
        <w:t xml:space="preserve">I01.8 Другие острые ревматические болезни сердца</w:t>
      </w:r>
      <w:r/>
    </w:p>
    <w:p>
      <w:r>
        <w:t xml:space="preserve">I01.9 Острая ревматическая болезнь сердца неуточненная</w:t>
      </w:r>
      <w:r/>
    </w:p>
    <w:p>
      <w:r>
        <w:t xml:space="preserve">I02 Ревматическая хорея</w:t>
      </w:r>
      <w:r/>
    </w:p>
    <w:p>
      <w:r>
        <w:t xml:space="preserve">I02.0 Ревматическая хорея с вовлечением сердца</w:t>
      </w:r>
      <w:r/>
    </w:p>
    <w:p>
      <w:r>
        <w:t xml:space="preserve">I02.9 Ревматическая хорея без вовлечения сердца</w:t>
      </w:r>
      <w:r/>
    </w:p>
    <w:p>
      <w:r>
        <w:t xml:space="preserve">I05 Ревматические болезни митрального клапана</w:t>
      </w:r>
      <w:r/>
    </w:p>
    <w:p>
      <w:r>
        <w:t xml:space="preserve">I05.0 Митральный стеноз</w:t>
      </w:r>
      <w:r/>
    </w:p>
    <w:p>
      <w:r>
        <w:t xml:space="preserve">I05.1 Ревматическая недостаточность митрального клапана</w:t>
      </w:r>
      <w:r/>
    </w:p>
    <w:p>
      <w:r>
        <w:t xml:space="preserve">I05.2 Митральный стеноз с недостаточностью</w:t>
      </w:r>
      <w:r/>
    </w:p>
    <w:p>
      <w:r>
        <w:t xml:space="preserve">I05.8 Другие болезни митрального клапана</w:t>
      </w:r>
      <w:r/>
    </w:p>
    <w:p>
      <w:r>
        <w:t xml:space="preserve">I05.9 Болезнь митрального клапана неуточненная</w:t>
      </w:r>
      <w:r/>
    </w:p>
    <w:p>
      <w:r>
        <w:t xml:space="preserve">I06 Ревматические болезни аортального клапана</w:t>
      </w:r>
      <w:r/>
    </w:p>
    <w:p>
      <w:r>
        <w:t xml:space="preserve">I06.0 Ревматический аортальный стеноз</w:t>
      </w:r>
      <w:r/>
    </w:p>
    <w:p>
      <w:r>
        <w:t xml:space="preserve">I06.1 Ревматическая недостаточность аортального клапана</w:t>
      </w:r>
      <w:r/>
    </w:p>
    <w:p>
      <w:r>
        <w:t xml:space="preserve">I06.2 Ревматический аортальный стеноз с недостаточностью</w:t>
      </w:r>
      <w:r/>
    </w:p>
    <w:p>
      <w:r>
        <w:t xml:space="preserve">I06.8 Другие ревматические болезни аортального клапана</w:t>
      </w:r>
      <w:r/>
    </w:p>
    <w:p>
      <w:r>
        <w:t xml:space="preserve">I06.9 Ревматическая болезнь аортального клапана неуточненная (</w:t>
      </w:r>
      <w:r>
        <w:t xml:space="preserve">ый</w:t>
      </w:r>
      <w:r>
        <w:t xml:space="preserve">)</w:t>
      </w:r>
      <w:r/>
    </w:p>
    <w:p>
      <w:r>
        <w:t xml:space="preserve">I07 Ревматические болезни трехстворчатого клапана</w:t>
      </w:r>
      <w:r/>
    </w:p>
    <w:p>
      <w:r>
        <w:t xml:space="preserve">I07.0 </w:t>
      </w:r>
      <w:r>
        <w:t xml:space="preserve">Трикуспидательный</w:t>
      </w:r>
      <w:r>
        <w:t xml:space="preserve"> стеноз</w:t>
      </w:r>
      <w:r/>
    </w:p>
    <w:p>
      <w:r>
        <w:t xml:space="preserve">I07.1 </w:t>
      </w:r>
      <w:r>
        <w:t xml:space="preserve">Трикуспидальная</w:t>
      </w:r>
      <w:r>
        <w:t xml:space="preserve"> недостаточность</w:t>
      </w:r>
      <w:r/>
    </w:p>
    <w:p>
      <w:r>
        <w:t xml:space="preserve">I07.2 </w:t>
      </w:r>
      <w:r>
        <w:t xml:space="preserve">Трикуспидальный</w:t>
      </w:r>
      <w:r>
        <w:t xml:space="preserve"> стеноз с недостаточностью</w:t>
      </w:r>
      <w:r/>
    </w:p>
    <w:p>
      <w:r>
        <w:t xml:space="preserve">I07.8 Другие болезни трехстворчатого клапана</w:t>
      </w:r>
      <w:r/>
    </w:p>
    <w:p>
      <w:r>
        <w:t xml:space="preserve">I07.9 Болезнь трехстворчатого клапана неуточненная</w:t>
      </w:r>
      <w:r/>
    </w:p>
    <w:p>
      <w:r>
        <w:t xml:space="preserve">I08 Поражения нескольких клапанов</w:t>
      </w:r>
      <w:r/>
    </w:p>
    <w:p>
      <w:r>
        <w:t xml:space="preserve">I08.0 Сочетанное поражение митрального и аортального клапанов</w:t>
      </w:r>
      <w:r/>
    </w:p>
    <w:p>
      <w:r>
        <w:t xml:space="preserve">I08.1 Сочетанные поражения митрального и трехстворчатого клапанов</w:t>
      </w:r>
      <w:r/>
    </w:p>
    <w:p>
      <w:r>
        <w:t xml:space="preserve">I08.2 Сочетанные поражения аортального и трехстворчатого клапанов</w:t>
      </w:r>
      <w:r/>
    </w:p>
    <w:p>
      <w:r>
        <w:t xml:space="preserve">I08.3 Сочетанные поражения митрального, аортального и трехстворчатого клапанов</w:t>
      </w:r>
      <w:r/>
    </w:p>
    <w:p>
      <w:r>
        <w:t xml:space="preserve">I08.8 Другие множественные болезни клапанов</w:t>
      </w:r>
      <w:r/>
    </w:p>
    <w:p>
      <w:r>
        <w:t xml:space="preserve">I08.9 Множественное поражение клапанов неуточненное</w:t>
      </w:r>
      <w:r/>
    </w:p>
    <w:p>
      <w:r>
        <w:t xml:space="preserve">I09 Другие ревматические болезни сердца</w:t>
      </w:r>
      <w:r/>
    </w:p>
    <w:p>
      <w:r>
        <w:t xml:space="preserve">I09.0 Ревматический миокардит</w:t>
      </w:r>
      <w:r/>
    </w:p>
    <w:p>
      <w:r>
        <w:t xml:space="preserve">I09.1 Ревматические болезни эндокарда, клапан не уточнен</w:t>
      </w:r>
      <w:r/>
    </w:p>
    <w:p>
      <w:r>
        <w:t xml:space="preserve">I09.2 Хронический ревматический перикардит</w:t>
      </w:r>
      <w:r/>
    </w:p>
    <w:p>
      <w:r>
        <w:t xml:space="preserve">I09.8 Другие уточненные ревматические болезни сердца</w:t>
      </w:r>
      <w:r/>
    </w:p>
    <w:p>
      <w:r>
        <w:t xml:space="preserve">I09.9 Ревматические болезни сердца неуточненные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Госпитализация в диагностических целях при подозрении на наличие злокачественного новообразования с целью подтверждения/исключения диагноза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B03.005.010 Комплекс исследований для диагностики острого лейкоза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Госпитализация для проведения лечения с применением генно-инженерных биологических препаратов и селективных иммунодепрессантов </w:t>
      </w:r>
      <w:r>
        <w:rPr>
          <w:rFonts w:ascii="Times New Roman" w:hAnsi="Times New Roman" w:cs="Times New Roman"/>
          <w:color w:val="auto"/>
        </w:rPr>
        <w:t xml:space="preserve">при</w:t>
      </w:r>
      <w:r>
        <w:rPr>
          <w:rFonts w:ascii="Times New Roman" w:hAnsi="Times New Roman" w:cs="Times New Roman"/>
          <w:color w:val="auto"/>
        </w:rPr>
        <w:t xml:space="preserve">: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K50.0 Болезнь крона тонкой кишки</w:t>
      </w:r>
      <w:r/>
    </w:p>
    <w:p>
      <w:r>
        <w:t xml:space="preserve">K50.0Болезнь крона тонкой кишки</w:t>
      </w:r>
      <w:r/>
    </w:p>
    <w:p>
      <w:r>
        <w:t xml:space="preserve">K50.1Болезнь крона толстой кишки</w:t>
      </w:r>
      <w:r/>
    </w:p>
    <w:p>
      <w:r>
        <w:t xml:space="preserve">K50.1Болезнь крона толстой кишки</w:t>
      </w:r>
      <w:r/>
    </w:p>
    <w:p>
      <w:r>
        <w:t xml:space="preserve">K50.8Другие разновидности болезни крона</w:t>
      </w:r>
      <w:r/>
    </w:p>
    <w:p>
      <w:r>
        <w:t xml:space="preserve">K50.8Другие разновидности болезни крона</w:t>
      </w:r>
      <w:r/>
    </w:p>
    <w:p>
      <w:r>
        <w:t xml:space="preserve">K50.9Болезнь крона неуточненная</w:t>
      </w:r>
      <w:r/>
    </w:p>
    <w:p>
      <w:r>
        <w:t xml:space="preserve">K50.9Болезнь крона неуточненная</w:t>
      </w:r>
      <w:r/>
    </w:p>
    <w:p>
      <w:r>
        <w:t xml:space="preserve">K51 Язвенный колит</w:t>
      </w:r>
      <w:r/>
    </w:p>
    <w:p>
      <w:r>
        <w:t xml:space="preserve">K51 Язвенный колит</w:t>
      </w:r>
      <w:r/>
    </w:p>
    <w:p>
      <w:r>
        <w:t xml:space="preserve">K51.0 Язвенный (хронический) энтероколит</w:t>
      </w:r>
      <w:r/>
    </w:p>
    <w:p>
      <w:r>
        <w:t xml:space="preserve">К51.0 Язвенный (хронический) энтероколит</w:t>
      </w:r>
      <w:r/>
    </w:p>
    <w:p>
      <w:r>
        <w:t xml:space="preserve">K51.1 Язвенный (хронический) </w:t>
      </w:r>
      <w:r>
        <w:t xml:space="preserve">илеоколит</w:t>
      </w:r>
      <w:r/>
    </w:p>
    <w:p>
      <w:r>
        <w:t xml:space="preserve">K51.1 Язвенный (хронический) </w:t>
      </w:r>
      <w:r>
        <w:t xml:space="preserve">илеоколит</w:t>
      </w:r>
      <w:r/>
    </w:p>
    <w:p>
      <w:r>
        <w:t xml:space="preserve">K51.2 Язвенный (хронический) проктит</w:t>
      </w:r>
      <w:r/>
    </w:p>
    <w:p>
      <w:r>
        <w:t xml:space="preserve">K51.2 Язвенный (хронический) проктит</w:t>
      </w:r>
      <w:r/>
    </w:p>
    <w:p>
      <w:r>
        <w:t xml:space="preserve">K51.3 Язвенный (хронический) </w:t>
      </w:r>
      <w:r>
        <w:t xml:space="preserve">ректосигмоидит</w:t>
      </w:r>
      <w:r/>
    </w:p>
    <w:p>
      <w:r>
        <w:t xml:space="preserve">K51.3 Язвенный (хронический) </w:t>
      </w:r>
      <w:r>
        <w:t xml:space="preserve">ректосигмоидит</w:t>
      </w:r>
      <w:r/>
    </w:p>
    <w:p>
      <w:r>
        <w:t xml:space="preserve">K51.8 Другие язвенные колиты</w:t>
      </w:r>
      <w:r/>
    </w:p>
    <w:p>
      <w:r>
        <w:t xml:space="preserve">K51.8 Другие язвенные колиты</w:t>
      </w:r>
      <w:r/>
    </w:p>
    <w:p>
      <w:r>
        <w:t xml:space="preserve">K51.9 Язвенный колит неуточненный</w:t>
      </w:r>
      <w:r/>
    </w:p>
    <w:p>
      <w:r>
        <w:t xml:space="preserve">K51.9 Язвенный колит неуточненный</w:t>
      </w:r>
      <w:r/>
    </w:p>
    <w:p>
      <w:r>
        <w:t xml:space="preserve">M08.0 Юношеский ревматоидный артрит</w:t>
      </w:r>
      <w:r/>
    </w:p>
    <w:p>
      <w:r>
        <w:t xml:space="preserve">M08.0 Юношеский ревматоидный артрит</w:t>
      </w:r>
      <w:r/>
    </w:p>
    <w:p>
      <w:r>
        <w:t xml:space="preserve">M08.0 Юношеский ревматоидный артрит</w:t>
      </w:r>
      <w:r/>
    </w:p>
    <w:p>
      <w:r>
        <w:t xml:space="preserve">M08.1 Юношеский </w:t>
      </w:r>
      <w:r>
        <w:t xml:space="preserve">анкилозирующий</w:t>
      </w:r>
      <w:r>
        <w:t xml:space="preserve"> спондилит</w:t>
      </w:r>
      <w:r/>
    </w:p>
    <w:p>
      <w:r>
        <w:t xml:space="preserve">M08.1 Юношеский </w:t>
      </w:r>
      <w:r>
        <w:t xml:space="preserve">анкилозирующий</w:t>
      </w:r>
      <w:r>
        <w:t xml:space="preserve"> спондилит</w:t>
      </w:r>
      <w:r/>
    </w:p>
    <w:p>
      <w:r>
        <w:t xml:space="preserve">M08.1 Юношеский </w:t>
      </w:r>
      <w:r>
        <w:t xml:space="preserve">анкилозирующий</w:t>
      </w:r>
      <w:r>
        <w:t xml:space="preserve"> спондилит</w:t>
      </w:r>
      <w:r/>
    </w:p>
    <w:p>
      <w:r>
        <w:t xml:space="preserve">M08.2 Юношеский артрит с системным началом</w:t>
      </w:r>
      <w:r/>
    </w:p>
    <w:p>
      <w:r>
        <w:t xml:space="preserve">M08.2 Юношеский артрит с системным началом</w:t>
      </w:r>
      <w:r/>
    </w:p>
    <w:p>
      <w:r>
        <w:t xml:space="preserve">M08.2 Юношеский артрит с системным началом</w:t>
      </w:r>
      <w:r/>
    </w:p>
    <w:p>
      <w:r>
        <w:t xml:space="preserve">M08.3 Юношеский полиартрит (</w:t>
      </w:r>
      <w:r>
        <w:t xml:space="preserve">серонегативный</w:t>
      </w:r>
      <w:r>
        <w:t xml:space="preserve">)</w:t>
      </w:r>
      <w:r/>
    </w:p>
    <w:p>
      <w:r>
        <w:t xml:space="preserve">M08.3 Юношеский полиартрит (</w:t>
      </w:r>
      <w:r>
        <w:t xml:space="preserve">серонегативный</w:t>
      </w:r>
      <w:r>
        <w:t xml:space="preserve">)</w:t>
      </w:r>
      <w:r/>
    </w:p>
    <w:p>
      <w:r>
        <w:t xml:space="preserve">M08.3 Юношеский полиартрит (</w:t>
      </w:r>
      <w:r>
        <w:t xml:space="preserve">серонегативный</w:t>
      </w:r>
      <w:r>
        <w:t xml:space="preserve">)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Гломерулярные</w:t>
      </w:r>
      <w:r>
        <w:rPr>
          <w:rFonts w:ascii="Times New Roman" w:hAnsi="Times New Roman" w:cs="Times New Roman"/>
          <w:color w:val="auto"/>
        </w:rPr>
        <w:t xml:space="preserve"> болезни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N00 Острый нефритический синдром</w:t>
      </w:r>
      <w:r/>
    </w:p>
    <w:p>
      <w:r>
        <w:t xml:space="preserve">N02 Рецидивирующая и устойчивая гематурия</w:t>
      </w:r>
      <w:r/>
    </w:p>
    <w:p>
      <w:r>
        <w:t xml:space="preserve">N03 Хронический нефритический синдром</w:t>
      </w:r>
      <w:r/>
    </w:p>
    <w:p>
      <w:r>
        <w:t xml:space="preserve">N04 Нефротический синдром</w:t>
      </w:r>
      <w:r/>
    </w:p>
    <w:p>
      <w:r>
        <w:t xml:space="preserve">N06 Изолированная протеинурия с </w:t>
      </w:r>
      <w:r>
        <w:t xml:space="preserve">уточненным</w:t>
      </w:r>
      <w:r>
        <w:t xml:space="preserve"> морфологическим</w:t>
      </w:r>
      <w:r/>
    </w:p>
    <w:p>
      <w:r>
        <w:t xml:space="preserve">поражением</w:t>
      </w:r>
      <w:r/>
    </w:p>
    <w:p>
      <w:r>
        <w:t xml:space="preserve">N07 Наследственная нефропатия, не классифицированная в </w:t>
      </w:r>
      <w:r>
        <w:t xml:space="preserve">др</w:t>
      </w:r>
      <w:r>
        <w:t xml:space="preserve">.р</w:t>
      </w:r>
      <w:r>
        <w:t xml:space="preserve">убриках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Тубулоинтерстициальные</w:t>
      </w:r>
      <w:r>
        <w:rPr>
          <w:rFonts w:ascii="Times New Roman" w:hAnsi="Times New Roman" w:cs="Times New Roman"/>
          <w:color w:val="auto"/>
        </w:rPr>
        <w:t xml:space="preserve"> болезни почек, другие болезни мочевой системы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N10 Острый </w:t>
      </w:r>
      <w:r>
        <w:t xml:space="preserve">тубулоинтерстициальный</w:t>
      </w:r>
      <w:r>
        <w:t xml:space="preserve"> нефрит</w:t>
      </w:r>
      <w:r/>
    </w:p>
    <w:p>
      <w:r>
        <w:t xml:space="preserve">N11.0 </w:t>
      </w:r>
      <w:r>
        <w:t xml:space="preserve">Необструктивный</w:t>
      </w:r>
      <w:r>
        <w:t xml:space="preserve"> хронический пиелонефрит, связанный с рефлюксом</w:t>
      </w:r>
      <w:r/>
    </w:p>
    <w:p>
      <w:r>
        <w:t xml:space="preserve">N11.1 Хронический </w:t>
      </w:r>
      <w:r>
        <w:t xml:space="preserve">обструктивный</w:t>
      </w:r>
      <w:r>
        <w:t xml:space="preserve"> пиелонефрит</w:t>
      </w:r>
      <w:r/>
    </w:p>
    <w:p>
      <w:r>
        <w:t xml:space="preserve">N11.8 Другие хронические </w:t>
      </w:r>
      <w:r>
        <w:t xml:space="preserve">тубулоинтерстициальные</w:t>
      </w:r>
      <w:r>
        <w:t xml:space="preserve"> нефриты</w:t>
      </w:r>
      <w:r/>
    </w:p>
    <w:p>
      <w:r>
        <w:t xml:space="preserve">N30.0 Острый цистит</w:t>
      </w:r>
      <w:r/>
    </w:p>
    <w:p>
      <w:r>
        <w:t xml:space="preserve">N30.1 Интерстициальный цистит (хронический)</w:t>
      </w:r>
      <w:r/>
    </w:p>
    <w:p>
      <w:r>
        <w:t xml:space="preserve">N39.0 Инфекция мочевыводящих путей без установленной локализации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</w:t>
      </w:r>
      <w:r>
        <w:rPr>
          <w:rFonts w:ascii="Times New Roman" w:hAnsi="Times New Roman" w:cs="Times New Roman"/>
          <w:color w:val="auto"/>
        </w:rPr>
        <w:t xml:space="preserve">имптомы</w:t>
      </w:r>
      <w:r>
        <w:rPr>
          <w:rFonts w:ascii="Times New Roman" w:hAnsi="Times New Roman" w:cs="Times New Roman"/>
          <w:color w:val="auto"/>
        </w:rPr>
        <w:t xml:space="preserve">, относящиеся к мочевой системе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N13.3 Другие и неуточненные гидронефрозы</w:t>
      </w:r>
      <w:r/>
    </w:p>
    <w:p>
      <w:r>
        <w:t xml:space="preserve">R80 Изолированная протеинурия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Врожденные аномалии почек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Q61.1 </w:t>
      </w:r>
      <w:r>
        <w:t xml:space="preserve">Поликистоз</w:t>
      </w:r>
      <w:r>
        <w:t xml:space="preserve"> почки, детский тип</w:t>
      </w:r>
      <w:r/>
    </w:p>
    <w:p>
      <w:r>
        <w:t xml:space="preserve">Q61.2 </w:t>
      </w:r>
      <w:r>
        <w:t xml:space="preserve">Поликистоз</w:t>
      </w:r>
      <w:r>
        <w:t xml:space="preserve"> почки, взрослый тип</w:t>
      </w:r>
      <w:r/>
    </w:p>
    <w:p>
      <w:r>
        <w:t xml:space="preserve">Q61.3 </w:t>
      </w:r>
      <w:r>
        <w:t xml:space="preserve">Поликистоз</w:t>
      </w:r>
      <w:r>
        <w:t xml:space="preserve"> почки неуточненный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Другие болезни, врожденные аномалии, повреждения мочевой системы и мужских половых органов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Q60 Агенезия и другие редукционные дефекты почки</w:t>
      </w:r>
      <w:r/>
    </w:p>
    <w:p>
      <w:r>
        <w:t xml:space="preserve">Q60.0 Агенезия почки односторонняя</w:t>
      </w:r>
      <w:r/>
    </w:p>
    <w:p>
      <w:r>
        <w:t xml:space="preserve">Q60.1 Агенезия почки двусторонняя</w:t>
      </w:r>
      <w:r/>
    </w:p>
    <w:p>
      <w:r>
        <w:t xml:space="preserve">Q60.2 Агенезия почки неуточненная</w:t>
      </w:r>
      <w:r/>
    </w:p>
    <w:p>
      <w:r>
        <w:t xml:space="preserve">Q60.3 Гипоплазия почки односторонняя</w:t>
      </w:r>
      <w:r/>
    </w:p>
    <w:p>
      <w:r>
        <w:t xml:space="preserve">Q60.4 Гипоплазия почки </w:t>
      </w:r>
      <w:r>
        <w:t xml:space="preserve">двустронняя</w:t>
      </w:r>
      <w:r/>
    </w:p>
    <w:p>
      <w:r>
        <w:t xml:space="preserve">Q60.5 Гипоплазия почки неуточненная</w:t>
      </w:r>
      <w:r/>
    </w:p>
    <w:p>
      <w:r>
        <w:t xml:space="preserve">Q63.0 Добавочная почка</w:t>
      </w:r>
      <w:r/>
    </w:p>
    <w:p>
      <w:r>
        <w:t xml:space="preserve">Q63.1 Слившаяся, дольчатая и подковообразная почка</w:t>
      </w:r>
      <w:r/>
    </w:p>
    <w:p>
      <w:r>
        <w:t xml:space="preserve">Q63.2 Эктопическая почка</w:t>
      </w:r>
      <w:r/>
    </w:p>
    <w:p>
      <w:r>
        <w:t xml:space="preserve">Q62 Врожденные нарушения проходимости почечной лоханки и</w:t>
      </w:r>
      <w:r/>
    </w:p>
    <w:p>
      <w:r>
        <w:t xml:space="preserve">врожденные аномалии мочеточника</w:t>
      </w:r>
      <w:r/>
    </w:p>
    <w:p>
      <w:r>
        <w:t xml:space="preserve">Q62.0 Врожденный гидронефроз</w:t>
      </w:r>
      <w:r/>
    </w:p>
    <w:p>
      <w:r>
        <w:t xml:space="preserve">Q62.2 Врожденное расширение мочеточника [</w:t>
      </w:r>
      <w:r>
        <w:t xml:space="preserve">врожденный</w:t>
      </w:r>
      <w:r>
        <w:t xml:space="preserve"> </w:t>
      </w:r>
      <w:r>
        <w:t xml:space="preserve">мегалоуретер</w:t>
      </w:r>
      <w:r>
        <w:t xml:space="preserve">]</w:t>
      </w:r>
      <w:r/>
    </w:p>
    <w:p>
      <w:r>
        <w:t xml:space="preserve">Q62.3 Другие врожденные нарушения проходимости почечной лоханки и мочеточника</w:t>
      </w:r>
      <w:r/>
    </w:p>
    <w:p>
      <w:r>
        <w:t xml:space="preserve">Q62.7 Врожденный пузырно-мочеточниково-почечный рефлюкс</w:t>
      </w:r>
      <w:r/>
    </w:p>
    <w:p>
      <w:r>
        <w:t xml:space="preserve">Q62.8 Другие врожденные аномалии мочеточника</w:t>
      </w:r>
      <w:r/>
    </w:p>
    <w:p>
      <w:r>
        <w:t xml:space="preserve">Q61.4 Дисплазия почки</w:t>
      </w:r>
      <w:r/>
    </w:p>
    <w:p>
      <w:r>
        <w:t xml:space="preserve">N39.4 Другие уточненные виды недержания мочи</w:t>
      </w:r>
      <w:r/>
    </w:p>
    <w:p>
      <w:r>
        <w:t xml:space="preserve">N31.8 Другие нервно-мышечные дисфункции мочевого пузыря</w:t>
      </w:r>
      <w:r/>
    </w:p>
    <w:p>
      <w:r>
        <w:t xml:space="preserve">N39.2 Ортостатическая протеинурия неуточненная</w:t>
      </w:r>
      <w:r/>
    </w:p>
    <w:p>
      <w:r>
        <w:t xml:space="preserve">N39.1 Стойкая протеинурия неуточненная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Анемии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D50 Железодефицитная анемия</w:t>
      </w:r>
      <w:r/>
    </w:p>
    <w:p>
      <w:r>
        <w:t xml:space="preserve">D50.8 Другие железодефицитные анемии</w:t>
      </w:r>
      <w:r/>
    </w:p>
    <w:p>
      <w:r>
        <w:t xml:space="preserve">D50.9 Железодефицитная анемия неуточненная</w:t>
      </w:r>
      <w:r/>
    </w:p>
    <w:p>
      <w:r>
        <w:t xml:space="preserve">D51 Витамин-в12-дефицитная анемия</w:t>
      </w:r>
      <w:r/>
    </w:p>
    <w:p>
      <w:r>
        <w:t xml:space="preserve">D51.0 Витамин-в12-дефицитная анемия вследствие дефицита внутреннего фактора</w:t>
      </w:r>
      <w:r/>
    </w:p>
    <w:p>
      <w:r>
        <w:t xml:space="preserve">D51.1 Витамин-в12-дефицитная анемия вследствие избирательного нарушения всасывания витамина в12 с протеинурией</w:t>
      </w:r>
      <w:r/>
    </w:p>
    <w:p>
      <w:r>
        <w:t xml:space="preserve">D51.3 Другие витамин-в12-дефицитные анемии, связанные с питанием</w:t>
      </w:r>
      <w:r/>
    </w:p>
    <w:p>
      <w:r>
        <w:t xml:space="preserve">D51.8 Другие витамин-в12-дефицитные анемии</w:t>
      </w:r>
      <w:r/>
    </w:p>
    <w:p>
      <w:r>
        <w:t xml:space="preserve">D51.9 Витамин-в12-дефицитная анемия неуточненная</w:t>
      </w:r>
      <w:r/>
    </w:p>
    <w:p>
      <w:r>
        <w:t xml:space="preserve">D52 </w:t>
      </w:r>
      <w:r>
        <w:t xml:space="preserve">Фолиеводефицитная</w:t>
      </w:r>
      <w:r>
        <w:t xml:space="preserve"> анемия</w:t>
      </w:r>
      <w:r/>
    </w:p>
    <w:p>
      <w:r>
        <w:t xml:space="preserve">D52.0 </w:t>
      </w:r>
      <w:r>
        <w:t xml:space="preserve">Фолиеводефицитная</w:t>
      </w:r>
      <w:r>
        <w:t xml:space="preserve"> анемия, связанная с питанием</w:t>
      </w:r>
      <w:r/>
    </w:p>
    <w:p>
      <w:r>
        <w:t xml:space="preserve">D52.1 </w:t>
      </w:r>
      <w:r>
        <w:t xml:space="preserve">Фолиеводефицитная</w:t>
      </w:r>
      <w:r>
        <w:t xml:space="preserve"> анемия медикаментозная</w:t>
      </w:r>
      <w:r/>
    </w:p>
    <w:p>
      <w:r>
        <w:t xml:space="preserve">D52.8 Другие </w:t>
      </w:r>
      <w:r>
        <w:t xml:space="preserve">фолиеводефицитные</w:t>
      </w:r>
      <w:r>
        <w:t xml:space="preserve"> анемии</w:t>
      </w:r>
      <w:r/>
    </w:p>
    <w:p>
      <w:r>
        <w:t xml:space="preserve">D52.9 </w:t>
      </w:r>
      <w:r>
        <w:t xml:space="preserve">Фолиеводефицитная</w:t>
      </w:r>
      <w:r>
        <w:t xml:space="preserve"> анемия неуточненная</w:t>
      </w:r>
      <w:r/>
    </w:p>
    <w:p>
      <w:r>
        <w:t xml:space="preserve">D53 Другие анемии, связанные с питанием</w:t>
      </w:r>
      <w:r/>
    </w:p>
    <w:p>
      <w:r>
        <w:t xml:space="preserve">D53.0 Анемия вследствие недостаточности белков</w:t>
      </w:r>
      <w:r/>
    </w:p>
    <w:p>
      <w:r>
        <w:t xml:space="preserve">D53.1 Другие </w:t>
      </w:r>
      <w:r>
        <w:t xml:space="preserve">мегалобластные</w:t>
      </w:r>
      <w:r>
        <w:t xml:space="preserve"> анемии, не классифицированные </w:t>
      </w:r>
      <w:r>
        <w:t xml:space="preserve">в</w:t>
      </w:r>
      <w:r/>
    </w:p>
    <w:p>
      <w:r>
        <w:t xml:space="preserve">других рубриках</w:t>
      </w:r>
      <w:r/>
    </w:p>
    <w:p>
      <w:r>
        <w:t xml:space="preserve">D53.8 Другие уточненные анемии, связанные с питанием</w:t>
      </w:r>
      <w:r/>
    </w:p>
    <w:p>
      <w:r>
        <w:t xml:space="preserve">D53.9 Анемия, связанная с питанием, неуточненная</w:t>
      </w:r>
      <w:r/>
    </w:p>
    <w:p>
      <w:r>
        <w:t xml:space="preserve">D57.1 Серповидно-клеточная анемия без криза</w:t>
      </w:r>
      <w:r/>
    </w:p>
    <w:p>
      <w:r>
        <w:t xml:space="preserve">D63.8 Анемия при др. хронических болезнях, классифицированных в др. рубриках</w:t>
      </w:r>
      <w:r/>
    </w:p>
    <w:p>
      <w:r>
        <w:t xml:space="preserve">D64.8 Другие уточненные анемии</w:t>
      </w:r>
      <w:r/>
    </w:p>
    <w:p>
      <w:r>
        <w:t xml:space="preserve">D64.9 Анемия неуточненная</w:t>
      </w:r>
      <w:r/>
    </w:p>
    <w:p>
      <w:r>
        <w:t xml:space="preserve">D58.9 Наследственная гемолитическая анемия, неуточненная</w:t>
      </w:r>
      <w:r/>
    </w:p>
    <w:p>
      <w:r>
        <w:t xml:space="preserve">D59.0 Медикаментозная аутоиммунная гемолитическая анемия</w:t>
      </w:r>
      <w:r/>
    </w:p>
    <w:p>
      <w:r>
        <w:t xml:space="preserve">D59.1 Другие аутоиммунные гемолитические анемии</w:t>
      </w:r>
      <w:r/>
    </w:p>
    <w:p>
      <w:r>
        <w:t xml:space="preserve">D59.2 Медикаментозная </w:t>
      </w:r>
      <w:r>
        <w:t xml:space="preserve">неаутоиммунная</w:t>
      </w:r>
      <w:r>
        <w:t xml:space="preserve"> гемолитическая анемия</w:t>
      </w:r>
      <w:r/>
    </w:p>
    <w:p>
      <w:r>
        <w:t xml:space="preserve">D59.4 Другие </w:t>
      </w:r>
      <w:r>
        <w:t xml:space="preserve">неаутоиммунные</w:t>
      </w:r>
      <w:r>
        <w:t xml:space="preserve"> гемолитические анемии</w:t>
      </w:r>
      <w:r/>
    </w:p>
    <w:p>
      <w:r>
        <w:t xml:space="preserve">D59.8 Другие приобретенные гемолитические анемии</w:t>
      </w:r>
      <w:r/>
    </w:p>
    <w:p>
      <w:r>
        <w:t xml:space="preserve">D59.9 Приобретенная гемолитическая анемия неуточненная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Нарушения свертываемости крови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D69 Пурпура и другие геморрагические состояния</w:t>
      </w:r>
      <w:r/>
    </w:p>
    <w:p>
      <w:r>
        <w:t xml:space="preserve">D69.0 Аллергическая пурпура</w:t>
      </w:r>
      <w:r/>
    </w:p>
    <w:p>
      <w:r>
        <w:t xml:space="preserve">D69.1 Качественные дефекты тромбоцитов</w:t>
      </w:r>
      <w:r/>
    </w:p>
    <w:p>
      <w:r>
        <w:t xml:space="preserve">D69.2</w:t>
      </w:r>
      <w:r>
        <w:t xml:space="preserve"> Д</w:t>
      </w:r>
      <w:r>
        <w:t xml:space="preserve">ругая </w:t>
      </w:r>
      <w:r>
        <w:t xml:space="preserve">нетромбоцитопеническая</w:t>
      </w:r>
      <w:r>
        <w:t xml:space="preserve"> пурпура</w:t>
      </w:r>
      <w:r/>
    </w:p>
    <w:p>
      <w:r>
        <w:t xml:space="preserve">D69.3 Идиопатическая тромбоцитопеническая пурпура</w:t>
      </w:r>
      <w:r/>
    </w:p>
    <w:p>
      <w:r>
        <w:t xml:space="preserve">D69.4 Другие первичные тромбоцитопении</w:t>
      </w:r>
      <w:r/>
    </w:p>
    <w:p>
      <w:r>
        <w:t xml:space="preserve">D69.5 Вторичная тромбоцитопения</w:t>
      </w:r>
      <w:r/>
    </w:p>
    <w:p>
      <w:r>
        <w:t xml:space="preserve">D69.6 Тромбоцитопения неуточненная</w:t>
      </w:r>
      <w:r/>
    </w:p>
    <w:p>
      <w:r>
        <w:t xml:space="preserve">D69.8 Другие уточненные геморрагические состояния</w:t>
      </w:r>
      <w:r/>
    </w:p>
    <w:p>
      <w:r>
        <w:t xml:space="preserve">D69.9 Геморрагическое состояние неуточненное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Дерматозы (только эти!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Локализованные дерматозы госпитализируются в кожную клинику </w:t>
      </w:r>
      <w:r>
        <w:rPr>
          <w:rFonts w:ascii="Times New Roman" w:hAnsi="Times New Roman" w:cs="Times New Roman"/>
          <w:color w:val="auto"/>
        </w:rPr>
        <w:t xml:space="preserve">СПбГПМУ</w:t>
      </w:r>
      <w:r>
        <w:rPr>
          <w:rFonts w:ascii="Times New Roman" w:hAnsi="Times New Roman" w:cs="Times New Roman"/>
          <w:color w:val="auto"/>
        </w:rPr>
        <w:t xml:space="preserve">)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L94.0 Локализованная склеродермия [</w:t>
      </w:r>
      <w:r>
        <w:t xml:space="preserve">morphea</w:t>
      </w:r>
      <w:r>
        <w:t xml:space="preserve">]</w:t>
      </w:r>
      <w:r/>
    </w:p>
    <w:p>
      <w:r>
        <w:t xml:space="preserve">L94.1 Линейная склеродермия</w:t>
      </w:r>
      <w:r/>
    </w:p>
    <w:p>
      <w:r>
        <w:t xml:space="preserve">L95.0 </w:t>
      </w:r>
      <w:r>
        <w:t xml:space="preserve">Васкулит</w:t>
      </w:r>
      <w:r>
        <w:t xml:space="preserve"> с мраморной кожей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Диагностика врожденных аномалий </w:t>
      </w:r>
      <w:r>
        <w:rPr>
          <w:rFonts w:ascii="Times New Roman" w:hAnsi="Times New Roman" w:cs="Times New Roman"/>
          <w:color w:val="auto"/>
        </w:rPr>
        <w:t xml:space="preserve">сердечно-сосудистой</w:t>
      </w:r>
      <w:r>
        <w:rPr>
          <w:rFonts w:ascii="Times New Roman" w:hAnsi="Times New Roman" w:cs="Times New Roman"/>
          <w:color w:val="auto"/>
        </w:rPr>
        <w:t xml:space="preserve"> системы, дети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Q21.0 Дефект межжелудочковой перегородки</w:t>
      </w:r>
      <w:r/>
    </w:p>
    <w:p>
      <w:r>
        <w:t xml:space="preserve">Q21.1 Дефект предсердной перегородки</w:t>
      </w:r>
      <w:r/>
    </w:p>
    <w:p>
      <w:r>
        <w:t xml:space="preserve">Q21.2 Дефект предсердно-желудочковой перегородки</w:t>
      </w:r>
      <w:r/>
    </w:p>
    <w:p>
      <w:r>
        <w:t xml:space="preserve">Q21.3 </w:t>
      </w:r>
      <w:r>
        <w:t xml:space="preserve">Тетрада</w:t>
      </w:r>
      <w:r>
        <w:t xml:space="preserve"> </w:t>
      </w:r>
      <w:r>
        <w:t xml:space="preserve">Фалло</w:t>
      </w:r>
      <w:r/>
    </w:p>
    <w:p>
      <w:r>
        <w:t xml:space="preserve">Q25.0 Открытый артериальный проток</w:t>
      </w:r>
      <w:r/>
    </w:p>
    <w:p>
      <w:r>
        <w:t xml:space="preserve">Q25.1 </w:t>
      </w:r>
      <w:r>
        <w:t xml:space="preserve">Коарктация</w:t>
      </w:r>
      <w:r>
        <w:t xml:space="preserve"> аорты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Нарушения ритма и проводимости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I44 Предсердно-желудочковая [атриовентрикулярная] блокада и блокада левой ножки пучка [Гиса]</w:t>
      </w:r>
      <w:r/>
    </w:p>
    <w:p>
      <w:r>
        <w:t xml:space="preserve">I44.0 Предсердно-желудочковая блокада первой степени</w:t>
      </w:r>
      <w:r/>
    </w:p>
    <w:p>
      <w:r>
        <w:t xml:space="preserve">I44.1 Предсердно-желудочковая блокада второй степени</w:t>
      </w:r>
      <w:r/>
    </w:p>
    <w:p>
      <w:r>
        <w:t xml:space="preserve">I44.2 Предсердно-желудочковая блокада полная</w:t>
      </w:r>
      <w:r/>
    </w:p>
    <w:p>
      <w:r>
        <w:t xml:space="preserve">I44.3</w:t>
      </w:r>
      <w:r>
        <w:t xml:space="preserve"> Д</w:t>
      </w:r>
      <w:r>
        <w:t xml:space="preserve">ругая и неуточненная предсердно-желудочковая блокада</w:t>
      </w:r>
      <w:r/>
    </w:p>
    <w:p>
      <w:r>
        <w:t xml:space="preserve">I44.4 Блокада передней ветви левой ножки пучка</w:t>
      </w:r>
      <w:r/>
    </w:p>
    <w:p>
      <w:r>
        <w:t xml:space="preserve">I44.5 Блокада задней ветви левой ножки пучка</w:t>
      </w:r>
      <w:r/>
    </w:p>
    <w:p>
      <w:r>
        <w:t xml:space="preserve">I44.6 Другие и неуточненные блокады пучка</w:t>
      </w:r>
      <w:r/>
    </w:p>
    <w:p>
      <w:r>
        <w:t xml:space="preserve">I44.7 Блокада левой ножки пучка неуточненная</w:t>
      </w:r>
      <w:r/>
    </w:p>
    <w:p>
      <w:r>
        <w:t xml:space="preserve">I45 Другие нарушения проводимости</w:t>
      </w:r>
      <w:r/>
    </w:p>
    <w:p>
      <w:r>
        <w:t xml:space="preserve">I45.0 Блокада правой ножки пучка</w:t>
      </w:r>
      <w:r/>
    </w:p>
    <w:p>
      <w:r>
        <w:t xml:space="preserve">I45.1</w:t>
      </w:r>
      <w:r>
        <w:t xml:space="preserve"> Д</w:t>
      </w:r>
      <w:r>
        <w:t xml:space="preserve">ругая и неуточненная блокада правой ножки пучка</w:t>
      </w:r>
      <w:r/>
    </w:p>
    <w:p>
      <w:r>
        <w:t xml:space="preserve">I45.2 </w:t>
      </w:r>
      <w:r>
        <w:t xml:space="preserve">Двухпучковая</w:t>
      </w:r>
      <w:r>
        <w:t xml:space="preserve"> блокада</w:t>
      </w:r>
      <w:r/>
    </w:p>
    <w:p>
      <w:r>
        <w:t xml:space="preserve">I45.3 </w:t>
      </w:r>
      <w:r>
        <w:t xml:space="preserve">Трехпучковая</w:t>
      </w:r>
      <w:r>
        <w:t xml:space="preserve"> блокада</w:t>
      </w:r>
      <w:r/>
    </w:p>
    <w:p>
      <w:r>
        <w:t xml:space="preserve">I45.4 Неспецифическая </w:t>
      </w:r>
      <w:r>
        <w:t xml:space="preserve">внутрижелудочковая</w:t>
      </w:r>
      <w:r>
        <w:t xml:space="preserve"> блокада</w:t>
      </w:r>
      <w:r/>
    </w:p>
    <w:p>
      <w:r>
        <w:t xml:space="preserve">I45.5</w:t>
      </w:r>
      <w:r>
        <w:t xml:space="preserve"> Д</w:t>
      </w:r>
      <w:r>
        <w:t xml:space="preserve">ругая уточненная блокада сердца</w:t>
      </w:r>
      <w:r/>
    </w:p>
    <w:p>
      <w:r>
        <w:t xml:space="preserve">I45.6 Синдром преждевременного возбуждения</w:t>
      </w:r>
      <w:r/>
    </w:p>
    <w:p>
      <w:r>
        <w:t xml:space="preserve">I45.8 Другие уточненные нарушения проводимости</w:t>
      </w:r>
      <w:r/>
    </w:p>
    <w:p>
      <w:r>
        <w:t xml:space="preserve">I45.9 Нарушение проводимости неуточненное</w:t>
      </w:r>
      <w:r/>
    </w:p>
    <w:p>
      <w:r>
        <w:t xml:space="preserve">I47 Пароксизмальная тахикардия</w:t>
      </w:r>
      <w:r/>
    </w:p>
    <w:p>
      <w:r>
        <w:t xml:space="preserve">I47.0 Возвратная желудочковая аритмия</w:t>
      </w:r>
      <w:r/>
    </w:p>
    <w:p>
      <w:r>
        <w:t xml:space="preserve">I47.1 </w:t>
      </w:r>
      <w:r>
        <w:t xml:space="preserve">Наджелудочковая</w:t>
      </w:r>
      <w:r>
        <w:t xml:space="preserve"> тахикардия</w:t>
      </w:r>
      <w:r/>
    </w:p>
    <w:p>
      <w:r>
        <w:t xml:space="preserve">I49.1 Преждевременная деполяризация предсердий</w:t>
      </w:r>
      <w:r/>
    </w:p>
    <w:p>
      <w:r>
        <w:t xml:space="preserve">I49.5 Синдром слабости синусового узла</w:t>
      </w:r>
      <w:r/>
    </w:p>
    <w:p>
      <w:r>
        <w:t xml:space="preserve">I49.8 Другие уточненные нарушения сердечного ритма</w:t>
      </w:r>
      <w:r/>
    </w:p>
    <w:p>
      <w:r>
        <w:t xml:space="preserve">R00 Отклонения от нормы сердечного ритма</w:t>
      </w:r>
      <w:r/>
    </w:p>
    <w:p>
      <w:r>
        <w:t xml:space="preserve">R00.0 Тахикардия неуточненная</w:t>
      </w:r>
      <w:r/>
    </w:p>
    <w:p>
      <w:r>
        <w:t xml:space="preserve">R00.1 Брадикардия неуточненная</w:t>
      </w:r>
      <w:r/>
    </w:p>
    <w:p>
      <w:r>
        <w:t xml:space="preserve">R00.8 Другие и неуточненные аномалии сердечного ритма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Эндокардит, миокардит, перикардит, </w:t>
      </w:r>
      <w:r>
        <w:rPr>
          <w:rFonts w:ascii="Times New Roman" w:hAnsi="Times New Roman" w:cs="Times New Roman"/>
          <w:color w:val="auto"/>
        </w:rPr>
        <w:t xml:space="preserve">кардиомиопатии</w:t>
      </w:r>
      <w:r>
        <w:rPr>
          <w:rFonts w:ascii="Times New Roman" w:hAnsi="Times New Roman" w:cs="Times New Roman"/>
          <w:color w:val="auto"/>
        </w:rPr>
        <w:t xml:space="preserve">, диагностика, лечение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I33.0 Острый и подострый инфекционный эндокардит</w:t>
      </w:r>
      <w:r/>
    </w:p>
    <w:p>
      <w:r>
        <w:t xml:space="preserve">I33.9 Острый эндокардит неуточненный</w:t>
      </w:r>
      <w:r/>
    </w:p>
    <w:p>
      <w:r>
        <w:t xml:space="preserve">I38 Эндокардит, клапан не уточнен</w:t>
      </w:r>
      <w:r/>
    </w:p>
    <w:p>
      <w:r>
        <w:t xml:space="preserve">I39.8 Эндокардит, клапан не уточнен, при болезнях, классифицированных в др. рубриках</w:t>
      </w:r>
      <w:r/>
    </w:p>
    <w:p>
      <w:r>
        <w:t xml:space="preserve">I40.0 Инфекционный миокардит</w:t>
      </w:r>
      <w:r/>
    </w:p>
    <w:p>
      <w:r>
        <w:t xml:space="preserve">I40.1 Изолированный миокардит</w:t>
      </w:r>
      <w:r/>
    </w:p>
    <w:p>
      <w:r>
        <w:t xml:space="preserve">I40.8 Другие виды острого миокардита</w:t>
      </w:r>
      <w:r/>
    </w:p>
    <w:p>
      <w:r>
        <w:t xml:space="preserve">I40.9 Острый миокардит неуточненный</w:t>
      </w:r>
      <w:r/>
    </w:p>
    <w:p>
      <w:r>
        <w:t xml:space="preserve">I41.0 Миокардит при бактериальных болезнях, классифицированных в др. рубриках</w:t>
      </w:r>
      <w:r/>
    </w:p>
    <w:p>
      <w:r>
        <w:t xml:space="preserve">I41.1 Миокардит при вирусных болезнях</w:t>
      </w:r>
      <w:r>
        <w:t xml:space="preserve"> ,</w:t>
      </w:r>
      <w:r>
        <w:t xml:space="preserve">классифицированных в др. рубриках</w:t>
      </w:r>
      <w:r/>
    </w:p>
    <w:p>
      <w:r>
        <w:t xml:space="preserve">I41.2 Миокардит при др. инфекционных и паразитарных болезнях, классифицированных в др. рубриках</w:t>
      </w:r>
      <w:r/>
    </w:p>
    <w:p>
      <w:r>
        <w:t xml:space="preserve">I41.8 Миокардит при др. болезнях, классифицированных</w:t>
      </w:r>
      <w:r>
        <w:t xml:space="preserve">.</w:t>
      </w:r>
      <w:r>
        <w:t xml:space="preserve"> </w:t>
      </w:r>
      <w:r>
        <w:t xml:space="preserve">в</w:t>
      </w:r>
      <w:r>
        <w:t xml:space="preserve"> др. рубриках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Другие заболевания/состояния по согласованию.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/>
      <w:r/>
    </w:p>
    <w:p>
      <w:pPr>
        <w:pStyle w:val="975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Показания для госпитализации в пульмонологическое отделение ЛОГБУЗ "ДКБ"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В отделение пульмонологии госпитализируются дети при отсутствии признаков ОРЗ, ОРВИ, </w:t>
      </w:r>
      <w:r>
        <w:t xml:space="preserve">туберкулез</w:t>
      </w:r>
      <w:r>
        <w:t xml:space="preserve">a</w:t>
      </w:r>
      <w:r>
        <w:t xml:space="preserve">.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Бронхиальная астма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J45 Астма</w:t>
      </w:r>
      <w:r/>
    </w:p>
    <w:p>
      <w:r>
        <w:t xml:space="preserve">J45.0 Астма с преобладанием аллергического компонента</w:t>
      </w:r>
      <w:r/>
    </w:p>
    <w:p>
      <w:r>
        <w:t xml:space="preserve">J45.1 Неаллергическая астма</w:t>
      </w:r>
      <w:r/>
    </w:p>
    <w:p>
      <w:r>
        <w:t xml:space="preserve">J45.8 Смешанная астма</w:t>
      </w:r>
      <w:r/>
    </w:p>
    <w:p>
      <w:r>
        <w:t xml:space="preserve">J45.9 Астма неуточненная</w:t>
      </w:r>
      <w:r/>
    </w:p>
    <w:p>
      <w:r>
        <w:t xml:space="preserve">J46 Астматический статус [</w:t>
      </w:r>
      <w:r>
        <w:t xml:space="preserve">status</w:t>
      </w:r>
      <w:r>
        <w:t xml:space="preserve"> </w:t>
      </w:r>
      <w:r>
        <w:t xml:space="preserve">asthmaticus</w:t>
      </w:r>
      <w:r>
        <w:t xml:space="preserve">]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Другие острые респираторные инфекции нижних дыхательных путей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J20.9 Острый бронхит неуточненный (Рецидивирующий бронхит). 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Кистозный фиброз Е84.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Врожденные пороки легких, обследование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Q32 Врожденные аномалии [пороки развития] трахеи и бронхов</w:t>
      </w:r>
      <w:r/>
    </w:p>
    <w:p>
      <w:r>
        <w:t xml:space="preserve">Q32.0 Врожденная </w:t>
      </w:r>
      <w:r>
        <w:t xml:space="preserve">трахеомаляция</w:t>
      </w:r>
      <w:r/>
    </w:p>
    <w:p>
      <w:r>
        <w:t xml:space="preserve">Q32.1 Другие пороки развития трахеи</w:t>
      </w:r>
      <w:r/>
    </w:p>
    <w:p>
      <w:r>
        <w:t xml:space="preserve">Q32.2 Врожденная </w:t>
      </w:r>
      <w:r>
        <w:t xml:space="preserve">бронхомаляция</w:t>
      </w:r>
      <w:r/>
    </w:p>
    <w:p>
      <w:r>
        <w:t xml:space="preserve">Q32.3 Врожденный стеноз бронхов</w:t>
      </w:r>
      <w:r/>
    </w:p>
    <w:p>
      <w:r>
        <w:t xml:space="preserve">Q32.4 Другие врожденные аномалии бронхов</w:t>
      </w:r>
      <w:r/>
    </w:p>
    <w:p>
      <w:r>
        <w:t xml:space="preserve">Q33 Врожденные аномалии [пороки развития] легкого</w:t>
      </w:r>
      <w:r/>
    </w:p>
    <w:p>
      <w:r>
        <w:t xml:space="preserve">Q33.0 Врожденная киста легкого</w:t>
      </w:r>
      <w:r/>
    </w:p>
    <w:p>
      <w:r>
        <w:t xml:space="preserve">Q33.1 Добавочная доля легкого</w:t>
      </w:r>
      <w:r/>
    </w:p>
    <w:p>
      <w:r>
        <w:t xml:space="preserve">Q33.2 Секвестрация легкого</w:t>
      </w:r>
      <w:r/>
    </w:p>
    <w:p>
      <w:r>
        <w:t xml:space="preserve">Q33.4 Врожденная бронхоэктазия</w:t>
      </w:r>
      <w:r/>
    </w:p>
    <w:p>
      <w:r>
        <w:t xml:space="preserve">Q33.8 Другие врожденные аномалии легкого</w:t>
      </w:r>
      <w:r/>
    </w:p>
    <w:p>
      <w:r>
        <w:t xml:space="preserve">Q33.9 Врожденная аномалия легкого неуточненная</w:t>
      </w:r>
      <w:r/>
    </w:p>
    <w:p>
      <w:r>
        <w:t xml:space="preserve">Q34 Другие врожденные аномалии [пороки развития] органов дыхания</w:t>
      </w:r>
      <w:r/>
    </w:p>
    <w:p>
      <w:r>
        <w:t xml:space="preserve">Q34.8 Другие уточненные врожденные аномалии органов дыхания</w:t>
      </w:r>
      <w:r/>
    </w:p>
    <w:p>
      <w:r>
        <w:t xml:space="preserve">Q34.9 Врожденная аномалия органов дыхания неуточненная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Интерстициальные заболевания легких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J84 Другие интерстициальные легочные болезни</w:t>
      </w:r>
      <w:r/>
    </w:p>
    <w:p>
      <w:r>
        <w:t xml:space="preserve">J84.0 Альвеолярные и </w:t>
      </w:r>
      <w:r>
        <w:t xml:space="preserve">парието</w:t>
      </w:r>
      <w:r>
        <w:t xml:space="preserve">-альвеолярные нарушения</w:t>
      </w:r>
      <w:r/>
    </w:p>
    <w:p>
      <w:r>
        <w:t xml:space="preserve">J84.1 Другие интерстициальные легочные болезни с упоминанием о фиброзе</w:t>
      </w:r>
      <w:r/>
    </w:p>
    <w:p>
      <w:r>
        <w:t xml:space="preserve">J84.8 Другие уточненные интерстициальные легочные болезни</w:t>
      </w:r>
      <w:r/>
    </w:p>
    <w:p>
      <w:r>
        <w:t xml:space="preserve">J84.9 Интерстициальная легочная болезнь неуточненная</w:t>
      </w:r>
      <w:r/>
    </w:p>
    <w:p>
      <w:r>
        <w:t xml:space="preserve">J98.2 Интерстициальная эмфизема</w:t>
      </w:r>
      <w:r/>
    </w:p>
    <w:p>
      <w:r>
        <w:t xml:space="preserve">J99 Респираторные нарушения при болезнях, классифицированных в др. рубриках</w:t>
      </w:r>
      <w:r/>
    </w:p>
    <w:p>
      <w:r>
        <w:t xml:space="preserve">J99.8 Респираторные нарушения при других болезнях, классифицированных в других рубриках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Затяжные и осложненные пневмонии без острых катаральных явлений и признаков деструкции J15 – J 18.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Другие болезни верхних дыхательных путей (J39)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J39.8 Другие уточненные болезни верхних дыхательных путей (Аллергический трахеит, аллергический ларинготрахеит и др.)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Хронические болезни нижних дыхательных путей 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rPr>
          <w:lang w:val="en-US"/>
        </w:rPr>
        <w:t xml:space="preserve">J</w:t>
      </w:r>
      <w:r>
        <w:t xml:space="preserve">41</w:t>
      </w:r>
      <w:r>
        <w:rPr>
          <w:b/>
          <w:bCs/>
        </w:rPr>
        <w:t xml:space="preserve"> </w:t>
      </w:r>
      <w:r>
        <w:t xml:space="preserve">Простой и </w:t>
      </w:r>
      <w:r>
        <w:t xml:space="preserve">слизисто</w:t>
      </w:r>
      <w:r>
        <w:t xml:space="preserve">-гнойный хронический бронхит </w:t>
      </w:r>
      <w:r/>
    </w:p>
    <w:p>
      <w:r>
        <w:t xml:space="preserve">J42 Хронический бронхит неуточненный.</w:t>
      </w:r>
      <w:r/>
    </w:p>
    <w:p>
      <w:r>
        <w:t xml:space="preserve">J44</w:t>
      </w:r>
      <w:r>
        <w:t xml:space="preserve"> Д</w:t>
      </w:r>
      <w:r>
        <w:t xml:space="preserve">ругая хроническая </w:t>
      </w:r>
      <w:r>
        <w:t xml:space="preserve">обструктивная</w:t>
      </w:r>
      <w:r>
        <w:t xml:space="preserve"> легочная болезнь:</w:t>
      </w:r>
      <w:r/>
    </w:p>
    <w:p>
      <w:r>
        <w:t xml:space="preserve">J44.1Хроническая </w:t>
      </w:r>
      <w:r>
        <w:t xml:space="preserve">обструктивная</w:t>
      </w:r>
      <w:r>
        <w:t xml:space="preserve"> легочная болезнь с обострением неуточненная</w:t>
      </w:r>
      <w:r/>
    </w:p>
    <w:p>
      <w:r>
        <w:t xml:space="preserve">J44.8</w:t>
      </w:r>
      <w:r>
        <w:t xml:space="preserve"> Д</w:t>
      </w:r>
      <w:r>
        <w:t xml:space="preserve">ругая уточненная хроническая </w:t>
      </w:r>
      <w:r>
        <w:t xml:space="preserve">обструктивная</w:t>
      </w:r>
      <w:r>
        <w:t xml:space="preserve"> легочная болезнь</w:t>
      </w:r>
      <w:r/>
    </w:p>
    <w:p>
      <w:r>
        <w:t xml:space="preserve">Исключаются: острые инфекции нижних дыхательных путей (J44.0)</w:t>
      </w:r>
      <w:r/>
    </w:p>
    <w:p>
      <w:r>
        <w:t xml:space="preserve">J44.9 Хроническая </w:t>
      </w:r>
      <w:r>
        <w:t xml:space="preserve">обструктивная</w:t>
      </w:r>
      <w:r>
        <w:t xml:space="preserve"> легочная болезнь неуточненная.</w:t>
      </w:r>
      <w:r/>
    </w:p>
    <w:p>
      <w:r>
        <w:t xml:space="preserve">J47 Бронхоэктазия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Другие респираторные нарушения (J98)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J98.1 Легочный коллапс. Ателектазы. </w:t>
      </w:r>
      <w:r/>
    </w:p>
    <w:p>
      <w:pPr>
        <w:pStyle w:val="975"/>
        <w:numPr>
          <w:ilvl w:val="1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Другие заболевания/состояния по согласованию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975"/>
        <w:numPr>
          <w:ilvl w:val="0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Показания для госпитализации в психоневрологическое отделение ЛОГБУЗ "ДКБ"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r>
        <w:t xml:space="preserve">G09 Последствия воспалительных болезней центральной нервной системы</w:t>
      </w:r>
      <w:r/>
    </w:p>
    <w:p>
      <w:r>
        <w:t xml:space="preserve">G10-G14 Системные атрофии, поражающие преимущественно центральную нервную систему:</w:t>
      </w:r>
      <w:r/>
    </w:p>
    <w:p>
      <w:r>
        <w:t xml:space="preserve">G10 Болезнь </w:t>
      </w:r>
      <w:r>
        <w:t xml:space="preserve">Гентингтона</w:t>
      </w:r>
      <w:r/>
    </w:p>
    <w:p>
      <w:r>
        <w:t xml:space="preserve">G11 Наследственная атаксия</w:t>
      </w:r>
      <w:r/>
    </w:p>
    <w:p>
      <w:r>
        <w:t xml:space="preserve">G12 Спинальная мышечная атрофия и родственные синдромы</w:t>
      </w:r>
      <w:r/>
    </w:p>
    <w:p>
      <w:r>
        <w:t xml:space="preserve">G20-G26 Экстрапирамидные и другие двигательные нарушения:</w:t>
      </w:r>
      <w:r/>
    </w:p>
    <w:p>
      <w:r>
        <w:t xml:space="preserve">G20 Болезнь Паркинсона</w:t>
      </w:r>
      <w:r/>
    </w:p>
    <w:p>
      <w:r>
        <w:t xml:space="preserve">G21 Вторичный паркинсонизм</w:t>
      </w:r>
      <w:r/>
    </w:p>
    <w:p>
      <w:r>
        <w:t xml:space="preserve">G23.0 Другие дегенеративные болезни базальных ганглиев</w:t>
      </w:r>
      <w:r/>
    </w:p>
    <w:p>
      <w:r>
        <w:t xml:space="preserve">G24 Дистония</w:t>
      </w:r>
      <w:r/>
    </w:p>
    <w:p>
      <w:r>
        <w:t xml:space="preserve">G25 Другие экстрапирамидные и двигательные нарушения</w:t>
      </w:r>
      <w:r/>
    </w:p>
    <w:p>
      <w:r>
        <w:t xml:space="preserve">G31 Другие дегенеративные болезни нервной системы, не классифицированные в других рубриках </w:t>
      </w:r>
      <w:r/>
    </w:p>
    <w:p>
      <w:r>
        <w:t xml:space="preserve">G31 Другие дегенеративные болезни нервной системы, не классифицированные в других рубриках:</w:t>
      </w:r>
      <w:r/>
    </w:p>
    <w:p>
      <w:r>
        <w:t xml:space="preserve">G31.8 Другие уточненные дегенеративные болезни нервной системы</w:t>
      </w:r>
      <w:r/>
    </w:p>
    <w:p>
      <w:r>
        <w:t xml:space="preserve">G31.9 Дегенеративная болезнь нервной системы неуточненная</w:t>
      </w:r>
      <w:r/>
    </w:p>
    <w:p>
      <w:r>
        <w:t xml:space="preserve">G35-G37 </w:t>
      </w:r>
      <w:r>
        <w:t xml:space="preserve">Демиелинизирующие</w:t>
      </w:r>
      <w:r>
        <w:t xml:space="preserve"> заболевания центральной нервной системы:</w:t>
      </w:r>
      <w:r/>
    </w:p>
    <w:p>
      <w:r>
        <w:t xml:space="preserve">G35 Рассеянный склероз</w:t>
      </w:r>
      <w:r/>
    </w:p>
    <w:p>
      <w:r>
        <w:t xml:space="preserve">G36</w:t>
      </w:r>
      <w:r>
        <w:t xml:space="preserve"> Д</w:t>
      </w:r>
      <w:r>
        <w:t xml:space="preserve">ругая форма острой диссеминированной </w:t>
      </w:r>
      <w:r>
        <w:t xml:space="preserve">демиелинизации</w:t>
      </w:r>
      <w:r/>
    </w:p>
    <w:p>
      <w:r>
        <w:t xml:space="preserve">G37 Другие </w:t>
      </w:r>
      <w:r>
        <w:t xml:space="preserve">демиелинизирующие</w:t>
      </w:r>
      <w:r>
        <w:t xml:space="preserve"> болезни центральной нервной системы</w:t>
      </w:r>
      <w:r/>
    </w:p>
    <w:p>
      <w:r>
        <w:t xml:space="preserve">G40-G47 Эпизодические и пароксизмальные расстройства:</w:t>
      </w:r>
      <w:r/>
    </w:p>
    <w:p>
      <w:r>
        <w:t xml:space="preserve">G40 Эпилепсия</w:t>
      </w:r>
      <w:r/>
    </w:p>
    <w:p>
      <w:r>
        <w:t xml:space="preserve">G41 Эпилептический статус</w:t>
      </w:r>
      <w:r/>
    </w:p>
    <w:p>
      <w:r>
        <w:t xml:space="preserve">G40-G47 Эпизодические и пароксизмальные расстройства:</w:t>
      </w:r>
      <w:r/>
    </w:p>
    <w:p>
      <w:r>
        <w:t xml:space="preserve">G43 Мигрень</w:t>
      </w:r>
      <w:r/>
    </w:p>
    <w:p>
      <w:r>
        <w:t xml:space="preserve">G44 Другие синдромы головной боли</w:t>
      </w:r>
      <w:r/>
    </w:p>
    <w:p>
      <w:r>
        <w:t xml:space="preserve">G40-G47 Эпизодические и пароксизмальные расстройства:</w:t>
      </w:r>
      <w:r/>
    </w:p>
    <w:p>
      <w:r>
        <w:t xml:space="preserve">G45 Преходящие транзиторные церебральные ишемические приступы и родственные синдромы</w:t>
      </w:r>
      <w:r/>
    </w:p>
    <w:p>
      <w:r>
        <w:t xml:space="preserve">G50-G59 Поражения отдельных нервов, нервных корешков и сплетений:</w:t>
      </w:r>
      <w:r/>
    </w:p>
    <w:p>
      <w:r>
        <w:t xml:space="preserve">G50 Поражения тройничного нерва</w:t>
      </w:r>
      <w:r/>
    </w:p>
    <w:p>
      <w:r>
        <w:t xml:space="preserve">G51 Поражения лицевого нерва</w:t>
      </w:r>
      <w:r/>
    </w:p>
    <w:p>
      <w:r>
        <w:t xml:space="preserve">G52 Поражения других черепных нервов</w:t>
      </w:r>
      <w:r/>
    </w:p>
    <w:p>
      <w:r>
        <w:t xml:space="preserve">G54 Поражения нервных корешков и сплетений</w:t>
      </w:r>
      <w:r/>
    </w:p>
    <w:p>
      <w:r>
        <w:t xml:space="preserve">G55 Сдавления нервных корешков и сплетений при болезнях, классифицированных в других рубриках</w:t>
      </w:r>
      <w:r/>
    </w:p>
    <w:p>
      <w:r>
        <w:t xml:space="preserve">G56 </w:t>
      </w:r>
      <w:r>
        <w:t xml:space="preserve">Мононевропатии</w:t>
      </w:r>
      <w:r>
        <w:t xml:space="preserve"> верхней конечности</w:t>
      </w:r>
      <w:r/>
    </w:p>
    <w:p>
      <w:r>
        <w:t xml:space="preserve">G57 </w:t>
      </w:r>
      <w:r>
        <w:t xml:space="preserve">Мононевропатии</w:t>
      </w:r>
      <w:r>
        <w:t xml:space="preserve"> нижней конечности</w:t>
      </w:r>
      <w:r/>
    </w:p>
    <w:p>
      <w:r>
        <w:t xml:space="preserve">G58 Другие </w:t>
      </w:r>
      <w:r>
        <w:t xml:space="preserve">мононевропатии</w:t>
      </w:r>
      <w:r/>
    </w:p>
    <w:p>
      <w:r>
        <w:t xml:space="preserve">G60-G64 </w:t>
      </w:r>
      <w:r>
        <w:t xml:space="preserve">Полиневропатии</w:t>
      </w:r>
      <w:r>
        <w:t xml:space="preserve"> и другие поражения периферической нервной системы:</w:t>
      </w:r>
      <w:r/>
    </w:p>
    <w:p>
      <w:r>
        <w:t xml:space="preserve">G60 Наследственная и идиопатическая невропатия</w:t>
      </w:r>
      <w:r/>
    </w:p>
    <w:p>
      <w:r>
        <w:t xml:space="preserve">G61 Воспалительная </w:t>
      </w:r>
      <w:r>
        <w:t xml:space="preserve">полиневропатия</w:t>
      </w:r>
      <w:r/>
    </w:p>
    <w:p>
      <w:r>
        <w:t xml:space="preserve">G62 Другие </w:t>
      </w:r>
      <w:r>
        <w:t xml:space="preserve">полиневропатии</w:t>
      </w:r>
      <w:r/>
    </w:p>
    <w:p>
      <w:r>
        <w:t xml:space="preserve">G70-G73 Болезни нервно-мышечного синапса и мышц:</w:t>
      </w:r>
      <w:r/>
    </w:p>
    <w:p>
      <w:r>
        <w:t xml:space="preserve">G70 </w:t>
      </w:r>
      <w:r>
        <w:t xml:space="preserve">Myasthenia</w:t>
      </w:r>
      <w:r>
        <w:t xml:space="preserve"> </w:t>
      </w:r>
      <w:r>
        <w:t xml:space="preserve">gravis</w:t>
      </w:r>
      <w:r>
        <w:t xml:space="preserve"> и другие нарушения нервно-мышечного синапса</w:t>
      </w:r>
      <w:r/>
    </w:p>
    <w:p>
      <w:r>
        <w:t xml:space="preserve">G71 Первичные поражения мышц</w:t>
      </w:r>
      <w:r/>
    </w:p>
    <w:p>
      <w:r>
        <w:t xml:space="preserve">G72 Другие миопатии</w:t>
      </w:r>
      <w:r/>
    </w:p>
    <w:p>
      <w:r>
        <w:t xml:space="preserve"> G73 Поражения нервно-мышечного синапса и мышц при болезнях, классифицированных в других рубриках</w:t>
      </w:r>
      <w:r/>
    </w:p>
    <w:p>
      <w:r>
        <w:t xml:space="preserve">G80-G83 Церебральный паралич и другие паралитические синдромы:</w:t>
      </w:r>
      <w:r/>
    </w:p>
    <w:p>
      <w:r>
        <w:t xml:space="preserve">G80 Церебральный паралич</w:t>
      </w:r>
      <w:r/>
    </w:p>
    <w:p>
      <w:r>
        <w:t xml:space="preserve">G81 Гемиплегия</w:t>
      </w:r>
      <w:r/>
    </w:p>
    <w:p>
      <w:r>
        <w:t xml:space="preserve">G82 Параплегия и </w:t>
      </w:r>
      <w:r>
        <w:t xml:space="preserve">тетраплегия</w:t>
      </w:r>
      <w:r/>
    </w:p>
    <w:p>
      <w:r>
        <w:t xml:space="preserve">G83 Другие паралитические синдромы</w:t>
      </w:r>
      <w:r/>
    </w:p>
    <w:p>
      <w:r>
        <w:t xml:space="preserve">G90-G99 Другие нарушения нервной системы:</w:t>
      </w:r>
      <w:r/>
    </w:p>
    <w:p>
      <w:r>
        <w:t xml:space="preserve">G90.5 Комплексный регионарный болевой синдром I типа</w:t>
      </w:r>
      <w:r/>
    </w:p>
    <w:p>
      <w:r>
        <w:t xml:space="preserve">G90.6 Комплексный регионарный болевой синдром II типа</w:t>
      </w:r>
      <w:r/>
    </w:p>
    <w:p>
      <w:r>
        <w:t xml:space="preserve">G90.7</w:t>
      </w:r>
      <w:r>
        <w:t xml:space="preserve"> Д</w:t>
      </w:r>
      <w:r>
        <w:t xml:space="preserve">ругой или неуточненный комплексный регионарный болевой синдром</w:t>
      </w:r>
      <w:r/>
    </w:p>
    <w:p>
      <w:r>
        <w:t xml:space="preserve">G91 Гидроцефалия</w:t>
      </w:r>
      <w:r/>
    </w:p>
    <w:p>
      <w:r>
        <w:t xml:space="preserve">G92 Токсическая энцефалопатия</w:t>
      </w:r>
      <w:r/>
    </w:p>
    <w:p>
      <w:r>
        <w:t xml:space="preserve">G93 Другие поражения головного мозга</w:t>
      </w:r>
      <w:r/>
    </w:p>
    <w:p>
      <w:r>
        <w:t xml:space="preserve">G 95 Другие болезни спинного мозга</w:t>
      </w:r>
      <w:r/>
    </w:p>
    <w:p>
      <w:r>
        <w:t xml:space="preserve">G96 Другие нарушения центральной нервной системы</w:t>
      </w:r>
      <w:r/>
    </w:p>
    <w:p>
      <w:r>
        <w:t xml:space="preserve">Q00-Q07 Врожденные аномалии нервной системы:</w:t>
      </w:r>
      <w:r/>
    </w:p>
    <w:p>
      <w:r>
        <w:t xml:space="preserve">Q02 Микроцефалия</w:t>
      </w:r>
      <w:r/>
    </w:p>
    <w:p>
      <w:r>
        <w:t xml:space="preserve">Q03 Врожденная гидроцефалия</w:t>
      </w:r>
      <w:r/>
    </w:p>
    <w:p>
      <w:r>
        <w:t xml:space="preserve">Q04 Другие врожденные аномалии мозга</w:t>
      </w:r>
      <w:r/>
    </w:p>
    <w:p>
      <w:r>
        <w:t xml:space="preserve">Q05 </w:t>
      </w:r>
      <w:r>
        <w:t xml:space="preserve">Spina</w:t>
      </w:r>
      <w:r>
        <w:t xml:space="preserve"> </w:t>
      </w:r>
      <w:r>
        <w:t xml:space="preserve">bifida</w:t>
      </w:r>
      <w:r>
        <w:t xml:space="preserve"> </w:t>
      </w:r>
      <w:r/>
    </w:p>
    <w:p>
      <w:r>
        <w:t xml:space="preserve">Q06 Другие врожденные аномалии спинного мозга</w:t>
      </w:r>
      <w:r/>
    </w:p>
    <w:p>
      <w:r>
        <w:t xml:space="preserve">Q07 Другие врожденные аномалии нервной системы</w:t>
      </w:r>
      <w:r/>
    </w:p>
    <w:p>
      <w:r>
        <w:t xml:space="preserve">Q 85 </w:t>
      </w:r>
      <w:r>
        <w:t xml:space="preserve">Факоматозы</w:t>
      </w:r>
      <w:r>
        <w:t xml:space="preserve">, не </w:t>
      </w:r>
      <w:r>
        <w:t xml:space="preserve">классифицированные</w:t>
      </w:r>
      <w:r>
        <w:t xml:space="preserve"> в других рубриках</w:t>
      </w:r>
      <w:r/>
    </w:p>
    <w:p>
      <w:r>
        <w:t xml:space="preserve">Q86 Синдромы врожденных аномалий, обусловленные известными экзогенными факторами, не классифицированные в других рубриках</w:t>
      </w:r>
      <w:r/>
    </w:p>
    <w:p>
      <w:r>
        <w:t xml:space="preserve">Q87 Другие уточненные синдромы врожденных аномалий, затрагивающих несколько систем</w:t>
      </w:r>
      <w:r/>
    </w:p>
    <w:p>
      <w:r>
        <w:t xml:space="preserve">Q90-Q99 Хромосомные аномалии, не классифицированные в других рубриках:</w:t>
      </w:r>
      <w:r/>
    </w:p>
    <w:p>
      <w:r>
        <w:t xml:space="preserve">Q90 Синдром Дауна</w:t>
      </w:r>
      <w:r/>
    </w:p>
    <w:p>
      <w:r>
        <w:t xml:space="preserve">Q92 Другие </w:t>
      </w:r>
      <w:r>
        <w:t xml:space="preserve">трисомии</w:t>
      </w:r>
      <w:r>
        <w:t xml:space="preserve"> и частичные </w:t>
      </w:r>
      <w:r>
        <w:t xml:space="preserve">трисомии</w:t>
      </w:r>
      <w:r>
        <w:t xml:space="preserve"> </w:t>
      </w:r>
      <w:r>
        <w:t xml:space="preserve">аутосом</w:t>
      </w:r>
      <w:r>
        <w:t xml:space="preserve">, не классифицированные в других рубриках</w:t>
      </w:r>
      <w:r/>
    </w:p>
    <w:p>
      <w:r>
        <w:t xml:space="preserve">Q93 </w:t>
      </w:r>
      <w:r>
        <w:t xml:space="preserve">Моносомии</w:t>
      </w:r>
      <w:r>
        <w:t xml:space="preserve"> и утраты части </w:t>
      </w:r>
      <w:r>
        <w:t xml:space="preserve">аутосом</w:t>
      </w:r>
      <w:r>
        <w:t xml:space="preserve">, не классифицированные в других рубриках</w:t>
      </w:r>
      <w:r/>
    </w:p>
    <w:p>
      <w:r>
        <w:t xml:space="preserve">Q95 Сбалансированные перестройки и структурные маркеры, не классифицированные в других рубриках</w:t>
      </w:r>
      <w:r/>
    </w:p>
    <w:p>
      <w:r>
        <w:t xml:space="preserve">Q96 Синдром Тернера</w:t>
      </w:r>
      <w:r/>
    </w:p>
    <w:p>
      <w:r>
        <w:t xml:space="preserve">Q99 Другие аномалии хромосом, не классифицированные в других рубриках</w:t>
      </w:r>
      <w:r/>
    </w:p>
    <w:p>
      <w:r>
        <w:t xml:space="preserve">D33 Доброкачественное новообразование головного мозга и других отделов центральной нервной системы</w:t>
      </w:r>
      <w:r/>
    </w:p>
    <w:p>
      <w:r>
        <w:t xml:space="preserve">T90 Последствия травм головы </w:t>
      </w:r>
      <w:r/>
    </w:p>
    <w:p>
      <w:r>
        <w:t xml:space="preserve">R50-R69 Общие симптомы и признаки:</w:t>
      </w:r>
      <w:r/>
    </w:p>
    <w:p>
      <w:r>
        <w:t xml:space="preserve">R55 Обморок [синкопе] и коллапс</w:t>
      </w:r>
      <w:r/>
    </w:p>
    <w:p>
      <w:r>
        <w:t xml:space="preserve">R56 Судороги, не классифицированные в других рубриках</w:t>
      </w:r>
      <w:r/>
    </w:p>
    <w:p>
      <w:r>
        <w:t xml:space="preserve">E70-E90 Нарушения обмена веществ </w:t>
      </w:r>
      <w:r/>
    </w:p>
    <w:p>
      <w:r>
        <w:t xml:space="preserve">E70 Нарушения обмена ароматических аминокислот</w:t>
      </w:r>
      <w:r/>
    </w:p>
    <w:p>
      <w:r>
        <w:t xml:space="preserve">E71 Нарушения обмена аминокислот с разветвленной цепью и обмена жирных кислот</w:t>
      </w:r>
      <w:r/>
    </w:p>
    <w:p>
      <w:r>
        <w:t xml:space="preserve">E72 Другие нарушения обмена аминокислот</w:t>
      </w:r>
      <w:r/>
    </w:p>
    <w:p>
      <w:r>
        <w:t xml:space="preserve">E74 Другие нарушения обмена углеводов</w:t>
      </w:r>
      <w:r/>
    </w:p>
    <w:p>
      <w:r>
        <w:t xml:space="preserve">E75 Нарушения обмена </w:t>
      </w:r>
      <w:r>
        <w:t xml:space="preserve">сфинголипидов</w:t>
      </w:r>
      <w:r>
        <w:t xml:space="preserve"> и другие болезни накопления липидов</w:t>
      </w:r>
      <w:r/>
    </w:p>
    <w:p>
      <w:r>
        <w:t xml:space="preserve">E76 Нарушения обмена </w:t>
      </w:r>
      <w:r>
        <w:t xml:space="preserve">глюкозаминогликанов</w:t>
      </w:r>
      <w:r/>
    </w:p>
    <w:p>
      <w:r>
        <w:t xml:space="preserve">I60-I69 Цереброваскулярные болезни</w:t>
      </w:r>
      <w:r/>
    </w:p>
    <w:p>
      <w:r>
        <w:t xml:space="preserve">I63 Инфаркт мозга</w:t>
      </w:r>
      <w:r/>
    </w:p>
    <w:p>
      <w:r>
        <w:t xml:space="preserve">I67 Другие цереброваскулярные болезни</w:t>
      </w:r>
      <w:r/>
    </w:p>
    <w:p>
      <w:r>
        <w:t xml:space="preserve">I69 Последствия цереброваскулярных болезней</w:t>
      </w:r>
      <w:r/>
    </w:p>
    <w:p>
      <w:r/>
      <w:r/>
    </w:p>
    <w:p>
      <w:r/>
      <w:r/>
    </w:p>
    <w:p>
      <w:r/>
      <w:r/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567" w:bottom="1134" w:left="1134" w:header="1134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Calibri">
    <w:panose1 w:val="020F0502020204030204"/>
  </w:font>
  <w:font w:name="Liberation Serif">
    <w:panose1 w:val="020206030504050203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Tahoma">
    <w:panose1 w:val="020B0604030504040204"/>
  </w:font>
  <w:font w:name="Segoe UI">
    <w:panose1 w:val="020B0503020204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70239390"/>
      <w:docPartObj>
        <w:docPartGallery w:val="Page Numbers (Top of Page)"/>
        <w:docPartUnique w:val="true"/>
      </w:docPartObj>
      <w:rPr/>
    </w:sdtPr>
    <w:sdtContent>
      <w:p>
        <w:pPr>
          <w:pStyle w:val="98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10</w:t>
        </w:r>
        <w:r>
          <w:fldChar w:fldCharType="end"/>
        </w:r>
        <w:r/>
      </w:p>
    </w:sdtContent>
  </w:sdt>
  <w:p>
    <w:pPr>
      <w:pStyle w:val="982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2"/>
      <w:ind w:firstLine="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0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9"/>
      <w:numFmt w:val="decimal"/>
      <w:isLgl w:val="false"/>
      <w:suff w:val="tab"/>
      <w:lvlText w:val="%1.1"/>
      <w:lvlJc w:val="left"/>
      <w:pPr>
        <w:ind w:left="1440" w:hanging="360"/>
      </w:pPr>
      <w:rPr>
        <w:rFonts w:hint="default"/>
      </w:rPr>
    </w:lvl>
    <w:lvl w:ilvl="1">
      <w:start w:val="19"/>
      <w:numFmt w:val="decimal"/>
      <w:isLgl w:val="false"/>
      <w:suff w:val="tab"/>
      <w:lvlText w:val="%2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9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9"/>
      <w:numFmt w:val="decimal"/>
      <w:isLgl w:val="false"/>
      <w:suff w:val="tab"/>
      <w:lvlText w:val="%1.4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pStyle w:val="975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9"/>
      <w:numFmt w:val="decimal"/>
      <w:isLgl w:val="false"/>
      <w:suff w:val="tab"/>
      <w:lvlText w:val="%1.3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9"/>
      <w:numFmt w:val="decimal"/>
      <w:isLgl w:val="false"/>
      <w:suff w:val="tab"/>
      <w:lvlText w:val="%1.1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pStyle w:val="987"/>
      <w:isLgl w:val="false"/>
      <w:suff w:val="tab"/>
      <w:lvlText w:val="%1."/>
      <w:lvlJc w:val="left"/>
      <w:pPr>
        <w:ind w:left="502" w:hanging="360"/>
      </w:pPr>
      <w:rPr>
        <w:rFonts w:hint="default"/>
        <w:highlight w:val="whit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2"/>
      <w:numFmt w:val="bullet"/>
      <w:isLgl w:val="false"/>
      <w:suff w:val="tab"/>
      <w:lvlText w:val="•"/>
      <w:lvlJc w:val="left"/>
      <w:pPr>
        <w:ind w:left="2869" w:hanging="360"/>
      </w:pPr>
      <w:rPr>
        <w:rFonts w:hint="default" w:ascii="Times New Roman" w:hAnsi="Times New Roman" w:eastAsia="Times New Roman"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9"/>
      <w:numFmt w:val="decimal"/>
      <w:isLgl w:val="false"/>
      <w:suff w:val="tab"/>
      <w:lvlText w:val="%1."/>
      <w:lvlJc w:val="left"/>
      <w:pPr>
        <w:ind w:left="179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9"/>
      <w:numFmt w:val="decimal"/>
      <w:isLgl w:val="false"/>
      <w:suff w:val="tab"/>
      <w:lvlText w:val="%1.2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9"/>
      <w:numFmt w:val="decimal"/>
      <w:isLgl w:val="false"/>
      <w:suff w:val="tab"/>
      <w:lvlText w:val="%1.1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3"/>
  </w:num>
  <w:num w:numId="3">
    <w:abstractNumId w:val="16"/>
  </w:num>
  <w:num w:numId="4">
    <w:abstractNumId w:val="34"/>
  </w:num>
  <w:num w:numId="5">
    <w:abstractNumId w:val="22"/>
  </w:num>
  <w:num w:numId="6">
    <w:abstractNumId w:val="18"/>
  </w:num>
  <w:num w:numId="7">
    <w:abstractNumId w:val="1"/>
  </w:num>
  <w:num w:numId="8">
    <w:abstractNumId w:val="3"/>
  </w:num>
  <w:num w:numId="9">
    <w:abstractNumId w:val="12"/>
  </w:num>
  <w:num w:numId="10">
    <w:abstractNumId w:val="6"/>
  </w:num>
  <w:num w:numId="11">
    <w:abstractNumId w:val="21"/>
  </w:num>
  <w:num w:numId="12">
    <w:abstractNumId w:val="4"/>
  </w:num>
  <w:num w:numId="13">
    <w:abstractNumId w:val="19"/>
  </w:num>
  <w:num w:numId="14">
    <w:abstractNumId w:val="37"/>
  </w:num>
  <w:num w:numId="15">
    <w:abstractNumId w:val="9"/>
  </w:num>
  <w:num w:numId="16">
    <w:abstractNumId w:val="35"/>
  </w:num>
  <w:num w:numId="17">
    <w:abstractNumId w:val="31"/>
  </w:num>
  <w:num w:numId="18">
    <w:abstractNumId w:val="25"/>
  </w:num>
  <w:num w:numId="19">
    <w:abstractNumId w:val="30"/>
  </w:num>
  <w:num w:numId="20">
    <w:abstractNumId w:val="17"/>
  </w:num>
  <w:num w:numId="21">
    <w:abstractNumId w:val="14"/>
  </w:num>
  <w:num w:numId="22">
    <w:abstractNumId w:val="33"/>
  </w:num>
  <w:num w:numId="23">
    <w:abstractNumId w:val="15"/>
  </w:num>
  <w:num w:numId="24">
    <w:abstractNumId w:val="38"/>
  </w:num>
  <w:num w:numId="25">
    <w:abstractNumId w:val="7"/>
  </w:num>
  <w:num w:numId="26">
    <w:abstractNumId w:val="27"/>
  </w:num>
  <w:num w:numId="27">
    <w:abstractNumId w:val="13"/>
  </w:num>
  <w:num w:numId="28">
    <w:abstractNumId w:val="10"/>
  </w:num>
  <w:num w:numId="29">
    <w:abstractNumId w:val="24"/>
  </w:num>
  <w:num w:numId="30">
    <w:abstractNumId w:val="8"/>
  </w:num>
  <w:num w:numId="31">
    <w:abstractNumId w:val="0"/>
  </w:num>
  <w:num w:numId="32">
    <w:abstractNumId w:val="5"/>
  </w:num>
  <w:num w:numId="33">
    <w:abstractNumId w:val="36"/>
  </w:num>
  <w:num w:numId="34">
    <w:abstractNumId w:val="2"/>
  </w:num>
  <w:num w:numId="35">
    <w:abstractNumId w:val="32"/>
  </w:num>
  <w:num w:numId="36">
    <w:abstractNumId w:val="20"/>
  </w:num>
  <w:num w:numId="37">
    <w:abstractNumId w:val="29"/>
  </w:num>
  <w:num w:numId="38">
    <w:abstractNumId w:val="26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7" w:default="1">
    <w:name w:val="Normal"/>
    <w:qFormat/>
    <w:pPr>
      <w:ind w:firstLine="709"/>
      <w:jc w:val="both"/>
    </w:pPr>
    <w:rPr>
      <w:rFonts w:ascii="Times New Roman" w:hAnsi="Times New Roman" w:cs="Times New Roman"/>
      <w:sz w:val="28"/>
      <w:szCs w:val="24"/>
    </w:rPr>
  </w:style>
  <w:style w:type="paragraph" w:styleId="768">
    <w:name w:val="Heading 1"/>
    <w:basedOn w:val="767"/>
    <w:next w:val="767"/>
    <w:link w:val="79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69">
    <w:name w:val="Heading 2"/>
    <w:basedOn w:val="767"/>
    <w:link w:val="960"/>
    <w:uiPriority w:val="9"/>
    <w:qFormat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770">
    <w:name w:val="Heading 3"/>
    <w:basedOn w:val="767"/>
    <w:next w:val="767"/>
    <w:link w:val="961"/>
    <w:uiPriority w:val="9"/>
    <w:semiHidden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</w:rPr>
  </w:style>
  <w:style w:type="paragraph" w:styleId="771">
    <w:name w:val="Heading 4"/>
    <w:basedOn w:val="767"/>
    <w:next w:val="767"/>
    <w:link w:val="79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72">
    <w:name w:val="Heading 5"/>
    <w:basedOn w:val="767"/>
    <w:next w:val="767"/>
    <w:link w:val="80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</w:rPr>
  </w:style>
  <w:style w:type="paragraph" w:styleId="773">
    <w:name w:val="Heading 6"/>
    <w:basedOn w:val="767"/>
    <w:next w:val="767"/>
    <w:link w:val="80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74">
    <w:name w:val="Heading 7"/>
    <w:basedOn w:val="767"/>
    <w:next w:val="767"/>
    <w:link w:val="80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75">
    <w:name w:val="Heading 8"/>
    <w:basedOn w:val="767"/>
    <w:next w:val="767"/>
    <w:link w:val="80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76">
    <w:name w:val="Heading 9"/>
    <w:basedOn w:val="767"/>
    <w:next w:val="767"/>
    <w:link w:val="80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7" w:default="1">
    <w:name w:val="Default Paragraph Font"/>
    <w:uiPriority w:val="1"/>
    <w:semiHidden/>
    <w:unhideWhenUsed/>
  </w:style>
  <w:style w:type="table" w:styleId="7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9" w:default="1">
    <w:name w:val="No List"/>
    <w:uiPriority w:val="99"/>
    <w:semiHidden/>
    <w:unhideWhenUsed/>
  </w:style>
  <w:style w:type="character" w:styleId="780" w:customStyle="1">
    <w:name w:val="Heading 1 Char"/>
    <w:basedOn w:val="77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81" w:customStyle="1">
    <w:name w:val="Heading 4 Char"/>
    <w:basedOn w:val="77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82" w:customStyle="1">
    <w:name w:val="Heading 5 Char"/>
    <w:basedOn w:val="77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83" w:customStyle="1">
    <w:name w:val="Heading 6 Char"/>
    <w:basedOn w:val="77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84" w:customStyle="1">
    <w:name w:val="Heading 7 Char"/>
    <w:basedOn w:val="77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85" w:customStyle="1">
    <w:name w:val="Heading 8 Char"/>
    <w:basedOn w:val="77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86" w:customStyle="1">
    <w:name w:val="Heading 9 Char"/>
    <w:basedOn w:val="77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87" w:customStyle="1">
    <w:name w:val="Title Char"/>
    <w:basedOn w:val="777"/>
    <w:uiPriority w:val="10"/>
    <w:rPr>
      <w:sz w:val="48"/>
      <w:szCs w:val="48"/>
    </w:rPr>
  </w:style>
  <w:style w:type="character" w:styleId="788" w:customStyle="1">
    <w:name w:val="Subtitle Char"/>
    <w:basedOn w:val="777"/>
    <w:uiPriority w:val="11"/>
    <w:rPr>
      <w:sz w:val="24"/>
      <w:szCs w:val="24"/>
    </w:rPr>
  </w:style>
  <w:style w:type="character" w:styleId="789" w:customStyle="1">
    <w:name w:val="Quote Char"/>
    <w:uiPriority w:val="29"/>
    <w:rPr>
      <w:i/>
    </w:rPr>
  </w:style>
  <w:style w:type="character" w:styleId="790" w:customStyle="1">
    <w:name w:val="Intense Quote Char"/>
    <w:uiPriority w:val="30"/>
    <w:rPr>
      <w:i/>
    </w:rPr>
  </w:style>
  <w:style w:type="character" w:styleId="791" w:customStyle="1">
    <w:name w:val="Header Char"/>
    <w:basedOn w:val="777"/>
    <w:uiPriority w:val="99"/>
  </w:style>
  <w:style w:type="character" w:styleId="792" w:customStyle="1">
    <w:name w:val="Footer Char"/>
    <w:basedOn w:val="777"/>
    <w:uiPriority w:val="99"/>
  </w:style>
  <w:style w:type="character" w:styleId="793" w:customStyle="1">
    <w:name w:val="Caption Char"/>
    <w:basedOn w:val="777"/>
    <w:uiPriority w:val="35"/>
    <w:rPr>
      <w:b/>
      <w:bCs/>
      <w:color w:val="5b9bd5" w:themeColor="accent1"/>
      <w:sz w:val="18"/>
      <w:szCs w:val="18"/>
    </w:rPr>
  </w:style>
  <w:style w:type="character" w:styleId="794" w:customStyle="1">
    <w:name w:val="Footnote Text Char"/>
    <w:uiPriority w:val="99"/>
    <w:rPr>
      <w:sz w:val="18"/>
    </w:rPr>
  </w:style>
  <w:style w:type="character" w:styleId="795" w:customStyle="1">
    <w:name w:val="Endnote Text Char"/>
    <w:uiPriority w:val="99"/>
    <w:rPr>
      <w:sz w:val="20"/>
    </w:rPr>
  </w:style>
  <w:style w:type="character" w:styleId="796" w:customStyle="1">
    <w:name w:val="Заголовок 1 Знак"/>
    <w:basedOn w:val="777"/>
    <w:link w:val="76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97" w:customStyle="1">
    <w:name w:val="Heading 2 Char"/>
    <w:basedOn w:val="777"/>
    <w:uiPriority w:val="9"/>
    <w:rPr>
      <w:rFonts w:ascii="Liberation Sans" w:hAnsi="Liberation Sans" w:eastAsia="Liberation Sans" w:cs="Liberation Sans"/>
      <w:sz w:val="34"/>
    </w:rPr>
  </w:style>
  <w:style w:type="character" w:styleId="798" w:customStyle="1">
    <w:name w:val="Heading 3 Char"/>
    <w:basedOn w:val="77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99" w:customStyle="1">
    <w:name w:val="Заголовок 4 Знак"/>
    <w:basedOn w:val="777"/>
    <w:link w:val="77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0" w:customStyle="1">
    <w:name w:val="Заголовок 5 Знак"/>
    <w:basedOn w:val="777"/>
    <w:link w:val="77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01" w:customStyle="1">
    <w:name w:val="Заголовок 6 Знак"/>
    <w:basedOn w:val="777"/>
    <w:link w:val="77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02" w:customStyle="1">
    <w:name w:val="Заголовок 7 Знак"/>
    <w:basedOn w:val="777"/>
    <w:link w:val="77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03" w:customStyle="1">
    <w:name w:val="Заголовок 8 Знак"/>
    <w:basedOn w:val="777"/>
    <w:link w:val="77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04" w:customStyle="1">
    <w:name w:val="Заголовок 9 Знак"/>
    <w:basedOn w:val="777"/>
    <w:link w:val="7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05" w:customStyle="1">
    <w:name w:val="Название Знак"/>
    <w:basedOn w:val="777"/>
    <w:link w:val="965"/>
    <w:uiPriority w:val="10"/>
    <w:rPr>
      <w:sz w:val="48"/>
      <w:szCs w:val="48"/>
    </w:rPr>
  </w:style>
  <w:style w:type="paragraph" w:styleId="806">
    <w:name w:val="Subtitle"/>
    <w:basedOn w:val="767"/>
    <w:next w:val="767"/>
    <w:link w:val="807"/>
    <w:uiPriority w:val="11"/>
    <w:qFormat/>
    <w:pPr>
      <w:spacing w:before="200" w:after="200"/>
    </w:pPr>
    <w:rPr>
      <w:sz w:val="24"/>
    </w:rPr>
  </w:style>
  <w:style w:type="character" w:styleId="807" w:customStyle="1">
    <w:name w:val="Подзаголовок Знак"/>
    <w:basedOn w:val="777"/>
    <w:link w:val="806"/>
    <w:uiPriority w:val="11"/>
    <w:rPr>
      <w:sz w:val="24"/>
      <w:szCs w:val="24"/>
    </w:rPr>
  </w:style>
  <w:style w:type="paragraph" w:styleId="808">
    <w:name w:val="Quote"/>
    <w:basedOn w:val="767"/>
    <w:next w:val="767"/>
    <w:link w:val="809"/>
    <w:uiPriority w:val="29"/>
    <w:qFormat/>
    <w:pPr>
      <w:ind w:left="720" w:right="720"/>
    </w:pPr>
    <w:rPr>
      <w:i/>
    </w:rPr>
  </w:style>
  <w:style w:type="character" w:styleId="809" w:customStyle="1">
    <w:name w:val="Цитата 2 Знак"/>
    <w:link w:val="808"/>
    <w:uiPriority w:val="29"/>
    <w:rPr>
      <w:i/>
    </w:rPr>
  </w:style>
  <w:style w:type="paragraph" w:styleId="810">
    <w:name w:val="Intense Quote"/>
    <w:basedOn w:val="767"/>
    <w:next w:val="767"/>
    <w:link w:val="81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1" w:customStyle="1">
    <w:name w:val="Выделенная цитата Знак"/>
    <w:link w:val="810"/>
    <w:uiPriority w:val="30"/>
    <w:rPr>
      <w:i/>
    </w:rPr>
  </w:style>
  <w:style w:type="character" w:styleId="812" w:customStyle="1">
    <w:name w:val="Верхний колонтитул Знак"/>
    <w:basedOn w:val="777"/>
    <w:link w:val="982"/>
    <w:uiPriority w:val="99"/>
  </w:style>
  <w:style w:type="character" w:styleId="813" w:customStyle="1">
    <w:name w:val="Нижний колонтитул Знак"/>
    <w:basedOn w:val="777"/>
    <w:link w:val="981"/>
    <w:uiPriority w:val="99"/>
  </w:style>
  <w:style w:type="character" w:styleId="814" w:customStyle="1">
    <w:name w:val="Название объекта Знак"/>
    <w:basedOn w:val="777"/>
    <w:link w:val="968"/>
    <w:uiPriority w:val="35"/>
    <w:rPr>
      <w:b/>
      <w:bCs/>
      <w:color w:val="5b9bd5" w:themeColor="accent1"/>
      <w:sz w:val="18"/>
      <w:szCs w:val="18"/>
    </w:rPr>
  </w:style>
  <w:style w:type="table" w:styleId="815" w:customStyle="1">
    <w:name w:val="Table Grid Light"/>
    <w:basedOn w:val="778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 w:customStyle="1">
    <w:name w:val="Plain Table 1"/>
    <w:basedOn w:val="778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17" w:customStyle="1">
    <w:name w:val="Plain Table 2"/>
    <w:basedOn w:val="778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18" w:customStyle="1">
    <w:name w:val="Plain Table 3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9" w:customStyle="1">
    <w:name w:val="Plain Table 4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Plain Table 5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1 Light"/>
    <w:basedOn w:val="778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1"/>
    <w:basedOn w:val="778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2"/>
    <w:basedOn w:val="778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3"/>
    <w:basedOn w:val="778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4"/>
    <w:basedOn w:val="778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1 Light - Accent 5"/>
    <w:basedOn w:val="778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6"/>
    <w:basedOn w:val="778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2"/>
    <w:basedOn w:val="77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1"/>
    <w:basedOn w:val="778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2"/>
    <w:basedOn w:val="778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3"/>
    <w:basedOn w:val="778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4"/>
    <w:basedOn w:val="778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5"/>
    <w:basedOn w:val="778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6"/>
    <w:basedOn w:val="778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"/>
    <w:basedOn w:val="77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1"/>
    <w:basedOn w:val="778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2"/>
    <w:basedOn w:val="778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3"/>
    <w:basedOn w:val="778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4"/>
    <w:basedOn w:val="778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5"/>
    <w:basedOn w:val="778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6"/>
    <w:basedOn w:val="778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4"/>
    <w:basedOn w:val="778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3" w:customStyle="1">
    <w:name w:val="Grid Table 4 - Accent 1"/>
    <w:basedOn w:val="778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44" w:customStyle="1">
    <w:name w:val="Grid Table 4 - Accent 2"/>
    <w:basedOn w:val="778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45" w:customStyle="1">
    <w:name w:val="Grid Table 4 - Accent 3"/>
    <w:basedOn w:val="778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46" w:customStyle="1">
    <w:name w:val="Grid Table 4 - Accent 4"/>
    <w:basedOn w:val="778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47" w:customStyle="1">
    <w:name w:val="Grid Table 4 - Accent 5"/>
    <w:basedOn w:val="778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48" w:customStyle="1">
    <w:name w:val="Grid Table 4 - Accent 6"/>
    <w:basedOn w:val="778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49" w:customStyle="1">
    <w:name w:val="Grid Table 5 Dark"/>
    <w:basedOn w:val="77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- Accent 1"/>
    <w:basedOn w:val="77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2"/>
    <w:basedOn w:val="77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 - Accent 3"/>
    <w:basedOn w:val="77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- Accent 4"/>
    <w:basedOn w:val="77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 - Accent 5"/>
    <w:basedOn w:val="77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 - Accent 6"/>
    <w:basedOn w:val="77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6 Colorful"/>
    <w:basedOn w:val="77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7" w:customStyle="1">
    <w:name w:val="Grid Table 6 Colorful - Accent 1"/>
    <w:basedOn w:val="778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58" w:customStyle="1">
    <w:name w:val="Grid Table 6 Colorful - Accent 2"/>
    <w:basedOn w:val="77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59" w:customStyle="1">
    <w:name w:val="Grid Table 6 Colorful - Accent 3"/>
    <w:basedOn w:val="778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60" w:customStyle="1">
    <w:name w:val="Grid Table 6 Colorful - Accent 4"/>
    <w:basedOn w:val="77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61" w:customStyle="1">
    <w:name w:val="Grid Table 6 Colorful - Accent 5"/>
    <w:basedOn w:val="778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62" w:customStyle="1">
    <w:name w:val="Grid Table 6 Colorful - Accent 6"/>
    <w:basedOn w:val="778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63" w:customStyle="1">
    <w:name w:val="Grid Table 7 Colorful"/>
    <w:basedOn w:val="778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4" w:customStyle="1">
    <w:name w:val="Grid Table 7 Colorful - Accent 1"/>
    <w:basedOn w:val="778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5" w:customStyle="1">
    <w:name w:val="Grid Table 7 Colorful - Accent 2"/>
    <w:basedOn w:val="778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Grid Table 7 Colorful - Accent 3"/>
    <w:basedOn w:val="778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7" w:customStyle="1">
    <w:name w:val="Grid Table 7 Colorful - Accent 4"/>
    <w:basedOn w:val="778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8" w:customStyle="1">
    <w:name w:val="Grid Table 7 Colorful - Accent 5"/>
    <w:basedOn w:val="778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Grid Table 7 Colorful - Accent 6"/>
    <w:basedOn w:val="778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0" w:customStyle="1">
    <w:name w:val="List Table 1 Light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1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2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3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4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5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6"/>
    <w:basedOn w:val="77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2"/>
    <w:basedOn w:val="778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8" w:customStyle="1">
    <w:name w:val="List Table 2 - Accent 1"/>
    <w:basedOn w:val="778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79" w:customStyle="1">
    <w:name w:val="List Table 2 - Accent 2"/>
    <w:basedOn w:val="778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80" w:customStyle="1">
    <w:name w:val="List Table 2 - Accent 3"/>
    <w:basedOn w:val="778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81" w:customStyle="1">
    <w:name w:val="List Table 2 - Accent 4"/>
    <w:basedOn w:val="778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82" w:customStyle="1">
    <w:name w:val="List Table 2 - Accent 5"/>
    <w:basedOn w:val="778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6"/>
    <w:basedOn w:val="778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84" w:customStyle="1">
    <w:name w:val="List Table 3"/>
    <w:basedOn w:val="77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1"/>
    <w:basedOn w:val="778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2"/>
    <w:basedOn w:val="77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3"/>
    <w:basedOn w:val="778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4"/>
    <w:basedOn w:val="77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3 - Accent 5"/>
    <w:basedOn w:val="778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6"/>
    <w:basedOn w:val="778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"/>
    <w:basedOn w:val="77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1"/>
    <w:basedOn w:val="778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2"/>
    <w:basedOn w:val="778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3"/>
    <w:basedOn w:val="778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4"/>
    <w:basedOn w:val="778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4 - Accent 5"/>
    <w:basedOn w:val="778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6"/>
    <w:basedOn w:val="778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5 Dark"/>
    <w:basedOn w:val="77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9" w:customStyle="1">
    <w:name w:val="List Table 5 Dark - Accent 1"/>
    <w:basedOn w:val="778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0" w:customStyle="1">
    <w:name w:val="List Table 5 Dark - Accent 2"/>
    <w:basedOn w:val="77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1" w:customStyle="1">
    <w:name w:val="List Table 5 Dark - Accent 3"/>
    <w:basedOn w:val="778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2" w:customStyle="1">
    <w:name w:val="List Table 5 Dark - Accent 4"/>
    <w:basedOn w:val="77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3" w:customStyle="1">
    <w:name w:val="List Table 5 Dark - Accent 5"/>
    <w:basedOn w:val="778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4" w:customStyle="1">
    <w:name w:val="List Table 5 Dark - Accent 6"/>
    <w:basedOn w:val="778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5" w:customStyle="1">
    <w:name w:val="List Table 6 Colorful"/>
    <w:basedOn w:val="77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6" w:customStyle="1">
    <w:name w:val="List Table 6 Colorful - Accent 1"/>
    <w:basedOn w:val="778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07" w:customStyle="1">
    <w:name w:val="List Table 6 Colorful - Accent 2"/>
    <w:basedOn w:val="77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08" w:customStyle="1">
    <w:name w:val="List Table 6 Colorful - Accent 3"/>
    <w:basedOn w:val="778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09" w:customStyle="1">
    <w:name w:val="List Table 6 Colorful - Accent 4"/>
    <w:basedOn w:val="77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10" w:customStyle="1">
    <w:name w:val="List Table 6 Colorful - Accent 5"/>
    <w:basedOn w:val="778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11" w:customStyle="1">
    <w:name w:val="List Table 6 Colorful - Accent 6"/>
    <w:basedOn w:val="778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12" w:customStyle="1">
    <w:name w:val="List Table 7 Colorful"/>
    <w:basedOn w:val="778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3" w:customStyle="1">
    <w:name w:val="List Table 7 Colorful - Accent 1"/>
    <w:basedOn w:val="778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4" w:customStyle="1">
    <w:name w:val="List Table 7 Colorful - Accent 2"/>
    <w:basedOn w:val="778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5" w:customStyle="1">
    <w:name w:val="List Table 7 Colorful - Accent 3"/>
    <w:basedOn w:val="778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6" w:customStyle="1">
    <w:name w:val="List Table 7 Colorful - Accent 4"/>
    <w:basedOn w:val="778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7" w:customStyle="1">
    <w:name w:val="List Table 7 Colorful - Accent 5"/>
    <w:basedOn w:val="778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8" w:customStyle="1">
    <w:name w:val="List Table 7 Colorful - Accent 6"/>
    <w:basedOn w:val="778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9" w:customStyle="1">
    <w:name w:val="Lined - Accent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0" w:customStyle="1">
    <w:name w:val="Lined - Accent 1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21" w:customStyle="1">
    <w:name w:val="Lined - Accent 2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22" w:customStyle="1">
    <w:name w:val="Lined - Accent 3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23" w:customStyle="1">
    <w:name w:val="Lined - Accent 4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24" w:customStyle="1">
    <w:name w:val="Lined - Accent 5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25" w:customStyle="1">
    <w:name w:val="Lined - Accent 6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26" w:customStyle="1">
    <w:name w:val="Bordered &amp; Lined - Accent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7" w:customStyle="1">
    <w:name w:val="Bordered &amp; Lined - Accent 1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28" w:customStyle="1">
    <w:name w:val="Bordered &amp; Lined - Accent 2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29" w:customStyle="1">
    <w:name w:val="Bordered &amp; Lined - Accent 3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0" w:customStyle="1">
    <w:name w:val="Bordered &amp; Lined - Accent 4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1" w:customStyle="1">
    <w:name w:val="Bordered &amp; Lined - Accent 5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2" w:customStyle="1">
    <w:name w:val="Bordered &amp; Lined - Accent 6"/>
    <w:basedOn w:val="77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33" w:customStyle="1">
    <w:name w:val="Bordered"/>
    <w:basedOn w:val="778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4" w:customStyle="1">
    <w:name w:val="Bordered - Accent 1"/>
    <w:basedOn w:val="778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35" w:customStyle="1">
    <w:name w:val="Bordered - Accent 2"/>
    <w:basedOn w:val="778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36" w:customStyle="1">
    <w:name w:val="Bordered - Accent 3"/>
    <w:basedOn w:val="778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37" w:customStyle="1">
    <w:name w:val="Bordered - Accent 4"/>
    <w:basedOn w:val="778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38" w:customStyle="1">
    <w:name w:val="Bordered - Accent 5"/>
    <w:basedOn w:val="778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39" w:customStyle="1">
    <w:name w:val="Bordered - Accent 6"/>
    <w:basedOn w:val="778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40">
    <w:name w:val="footnote text"/>
    <w:basedOn w:val="767"/>
    <w:link w:val="941"/>
    <w:uiPriority w:val="99"/>
    <w:semiHidden/>
    <w:unhideWhenUsed/>
    <w:pPr>
      <w:spacing w:after="40"/>
    </w:pPr>
    <w:rPr>
      <w:sz w:val="18"/>
    </w:rPr>
  </w:style>
  <w:style w:type="character" w:styleId="941" w:customStyle="1">
    <w:name w:val="Текст сноски Знак"/>
    <w:link w:val="940"/>
    <w:uiPriority w:val="99"/>
    <w:rPr>
      <w:sz w:val="18"/>
    </w:rPr>
  </w:style>
  <w:style w:type="character" w:styleId="942">
    <w:name w:val="footnote reference"/>
    <w:basedOn w:val="777"/>
    <w:uiPriority w:val="99"/>
    <w:unhideWhenUsed/>
    <w:rPr>
      <w:vertAlign w:val="superscript"/>
    </w:rPr>
  </w:style>
  <w:style w:type="paragraph" w:styleId="943">
    <w:name w:val="endnote text"/>
    <w:basedOn w:val="767"/>
    <w:link w:val="944"/>
    <w:uiPriority w:val="99"/>
    <w:semiHidden/>
    <w:unhideWhenUsed/>
    <w:rPr>
      <w:sz w:val="20"/>
    </w:rPr>
  </w:style>
  <w:style w:type="character" w:styleId="944" w:customStyle="1">
    <w:name w:val="Текст концевой сноски Знак"/>
    <w:link w:val="943"/>
    <w:uiPriority w:val="99"/>
    <w:rPr>
      <w:sz w:val="20"/>
    </w:rPr>
  </w:style>
  <w:style w:type="character" w:styleId="945">
    <w:name w:val="endnote reference"/>
    <w:basedOn w:val="777"/>
    <w:uiPriority w:val="99"/>
    <w:semiHidden/>
    <w:unhideWhenUsed/>
    <w:rPr>
      <w:vertAlign w:val="superscript"/>
    </w:rPr>
  </w:style>
  <w:style w:type="paragraph" w:styleId="946">
    <w:name w:val="toc 1"/>
    <w:basedOn w:val="767"/>
    <w:next w:val="767"/>
    <w:uiPriority w:val="39"/>
    <w:unhideWhenUsed/>
    <w:pPr>
      <w:ind w:firstLine="0"/>
      <w:spacing w:after="57"/>
    </w:pPr>
  </w:style>
  <w:style w:type="paragraph" w:styleId="947">
    <w:name w:val="toc 2"/>
    <w:basedOn w:val="767"/>
    <w:next w:val="767"/>
    <w:uiPriority w:val="39"/>
    <w:unhideWhenUsed/>
    <w:pPr>
      <w:ind w:left="283" w:firstLine="0"/>
      <w:spacing w:after="57"/>
    </w:pPr>
  </w:style>
  <w:style w:type="paragraph" w:styleId="948">
    <w:name w:val="toc 3"/>
    <w:basedOn w:val="767"/>
    <w:next w:val="767"/>
    <w:uiPriority w:val="39"/>
    <w:unhideWhenUsed/>
    <w:pPr>
      <w:ind w:left="567" w:firstLine="0"/>
      <w:spacing w:after="57"/>
    </w:pPr>
  </w:style>
  <w:style w:type="paragraph" w:styleId="949">
    <w:name w:val="toc 4"/>
    <w:basedOn w:val="767"/>
    <w:next w:val="767"/>
    <w:uiPriority w:val="39"/>
    <w:unhideWhenUsed/>
    <w:pPr>
      <w:ind w:left="850" w:firstLine="0"/>
      <w:spacing w:after="57"/>
    </w:pPr>
  </w:style>
  <w:style w:type="paragraph" w:styleId="950">
    <w:name w:val="toc 5"/>
    <w:basedOn w:val="767"/>
    <w:next w:val="767"/>
    <w:uiPriority w:val="39"/>
    <w:unhideWhenUsed/>
    <w:pPr>
      <w:ind w:left="1134" w:firstLine="0"/>
      <w:spacing w:after="57"/>
    </w:pPr>
  </w:style>
  <w:style w:type="paragraph" w:styleId="951">
    <w:name w:val="toc 6"/>
    <w:basedOn w:val="767"/>
    <w:next w:val="767"/>
    <w:uiPriority w:val="39"/>
    <w:unhideWhenUsed/>
    <w:pPr>
      <w:ind w:left="1417" w:firstLine="0"/>
      <w:spacing w:after="57"/>
    </w:pPr>
  </w:style>
  <w:style w:type="paragraph" w:styleId="952">
    <w:name w:val="toc 7"/>
    <w:basedOn w:val="767"/>
    <w:next w:val="767"/>
    <w:uiPriority w:val="39"/>
    <w:unhideWhenUsed/>
    <w:pPr>
      <w:ind w:left="1701" w:firstLine="0"/>
      <w:spacing w:after="57"/>
    </w:pPr>
  </w:style>
  <w:style w:type="paragraph" w:styleId="953">
    <w:name w:val="toc 8"/>
    <w:basedOn w:val="767"/>
    <w:next w:val="767"/>
    <w:uiPriority w:val="39"/>
    <w:unhideWhenUsed/>
    <w:pPr>
      <w:ind w:left="1984" w:firstLine="0"/>
      <w:spacing w:after="57"/>
    </w:pPr>
  </w:style>
  <w:style w:type="paragraph" w:styleId="954">
    <w:name w:val="toc 9"/>
    <w:basedOn w:val="767"/>
    <w:next w:val="767"/>
    <w:uiPriority w:val="39"/>
    <w:unhideWhenUsed/>
    <w:pPr>
      <w:ind w:left="2268" w:firstLine="0"/>
      <w:spacing w:after="57"/>
    </w:pPr>
  </w:style>
  <w:style w:type="paragraph" w:styleId="955">
    <w:name w:val="TOC Heading"/>
    <w:uiPriority w:val="39"/>
    <w:unhideWhenUsed/>
  </w:style>
  <w:style w:type="paragraph" w:styleId="956">
    <w:name w:val="table of figures"/>
    <w:basedOn w:val="767"/>
    <w:next w:val="767"/>
    <w:uiPriority w:val="99"/>
    <w:unhideWhenUsed/>
  </w:style>
  <w:style w:type="character" w:styleId="957">
    <w:name w:val="Hyperlink"/>
    <w:basedOn w:val="777"/>
    <w:uiPriority w:val="99"/>
    <w:semiHidden/>
    <w:unhideWhenUsed/>
    <w:rPr>
      <w:color w:val="0000ff"/>
      <w:u w:val="single"/>
    </w:rPr>
  </w:style>
  <w:style w:type="character" w:styleId="958" w:customStyle="1">
    <w:name w:val="Текст выноски Знак"/>
    <w:basedOn w:val="777"/>
    <w:link w:val="974"/>
    <w:uiPriority w:val="99"/>
    <w:semiHidden/>
    <w:qFormat/>
    <w:rPr>
      <w:rFonts w:ascii="Segoe UI" w:hAnsi="Segoe UI" w:cs="Segoe UI"/>
      <w:sz w:val="18"/>
      <w:szCs w:val="18"/>
    </w:rPr>
  </w:style>
  <w:style w:type="character" w:styleId="959" w:customStyle="1">
    <w:name w:val="fontstyle01"/>
    <w:basedOn w:val="777"/>
    <w:qFormat/>
    <w:rPr>
      <w:rFonts w:ascii="Tahoma" w:hAnsi="Tahoma" w:cs="Tahoma"/>
      <w:b w:val="0"/>
      <w:bCs w:val="0"/>
      <w:i w:val="0"/>
      <w:iCs w:val="0"/>
      <w:color w:val="000000"/>
      <w:sz w:val="48"/>
      <w:szCs w:val="48"/>
    </w:rPr>
  </w:style>
  <w:style w:type="character" w:styleId="960" w:customStyle="1">
    <w:name w:val="Заголовок 2 Знак"/>
    <w:basedOn w:val="777"/>
    <w:link w:val="769"/>
    <w:uiPriority w:val="9"/>
    <w:qFormat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961" w:customStyle="1">
    <w:name w:val="Заголовок 3 Знак"/>
    <w:basedOn w:val="777"/>
    <w:link w:val="770"/>
    <w:uiPriority w:val="9"/>
    <w:semiHidden/>
    <w:qFormat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962">
    <w:name w:val="Strong"/>
    <w:basedOn w:val="777"/>
    <w:uiPriority w:val="22"/>
    <w:qFormat/>
    <w:rPr>
      <w:b/>
      <w:bCs/>
    </w:rPr>
  </w:style>
  <w:style w:type="character" w:styleId="963" w:customStyle="1">
    <w:name w:val="Font Style28"/>
    <w:qFormat/>
    <w:rPr>
      <w:rFonts w:ascii="Times New Roman" w:hAnsi="Times New Roman" w:cs="Times New Roman"/>
      <w:sz w:val="24"/>
      <w:szCs w:val="24"/>
    </w:rPr>
  </w:style>
  <w:style w:type="character" w:styleId="964">
    <w:name w:val="line number"/>
  </w:style>
  <w:style w:type="paragraph" w:styleId="965">
    <w:name w:val="Title"/>
    <w:basedOn w:val="767"/>
    <w:next w:val="966"/>
    <w:link w:val="805"/>
    <w:qFormat/>
    <w:pPr>
      <w:keepNext/>
      <w:spacing w:before="240" w:after="120"/>
    </w:pPr>
    <w:rPr>
      <w:rFonts w:ascii="PT Astra Serif" w:hAnsi="PT Astra Serif" w:eastAsia="Tahoma" w:cs="Noto Sans Devanagari"/>
      <w:szCs w:val="28"/>
    </w:rPr>
  </w:style>
  <w:style w:type="paragraph" w:styleId="966">
    <w:name w:val="Body Text"/>
    <w:basedOn w:val="767"/>
    <w:pPr>
      <w:spacing w:after="140" w:line="276" w:lineRule="auto"/>
    </w:pPr>
  </w:style>
  <w:style w:type="paragraph" w:styleId="967">
    <w:name w:val="List"/>
    <w:basedOn w:val="966"/>
    <w:rPr>
      <w:rFonts w:ascii="PT Astra Serif" w:hAnsi="PT Astra Serif" w:cs="Noto Sans Devanagari"/>
    </w:rPr>
  </w:style>
  <w:style w:type="paragraph" w:styleId="968">
    <w:name w:val="Caption"/>
    <w:basedOn w:val="767"/>
    <w:link w:val="814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</w:rPr>
  </w:style>
  <w:style w:type="paragraph" w:styleId="969">
    <w:name w:val="index heading"/>
    <w:basedOn w:val="767"/>
    <w:qFormat/>
    <w:pPr>
      <w:suppressLineNumbers/>
    </w:pPr>
    <w:rPr>
      <w:rFonts w:ascii="PT Astra Serif" w:hAnsi="PT Astra Serif" w:cs="Noto Sans Devanagari"/>
    </w:rPr>
  </w:style>
  <w:style w:type="paragraph" w:styleId="970" w:customStyle="1">
    <w:name w:val="Заголовок (user)"/>
    <w:basedOn w:val="767"/>
    <w:next w:val="966"/>
    <w:qFormat/>
    <w:pPr>
      <w:keepNext/>
      <w:spacing w:before="240" w:after="120"/>
    </w:pPr>
    <w:rPr>
      <w:rFonts w:ascii="PT Astra Serif" w:hAnsi="PT Astra Serif" w:eastAsia="Tahoma" w:cs="Noto Sans Devanagari"/>
      <w:szCs w:val="28"/>
    </w:rPr>
  </w:style>
  <w:style w:type="paragraph" w:styleId="971" w:customStyle="1">
    <w:name w:val="Указатель (user)"/>
    <w:basedOn w:val="767"/>
    <w:qFormat/>
    <w:pPr>
      <w:suppressLineNumbers/>
    </w:pPr>
    <w:rPr>
      <w:rFonts w:ascii="PT Astra Serif" w:hAnsi="PT Astra Serif" w:cs="Noto Sans Devanagari"/>
    </w:rPr>
  </w:style>
  <w:style w:type="paragraph" w:styleId="972" w:customStyle="1">
    <w:name w:val="headertext"/>
    <w:basedOn w:val="767"/>
    <w:qFormat/>
    <w:pPr>
      <w:spacing w:beforeAutospacing="1" w:afterAutospacing="1"/>
    </w:pPr>
    <w:rPr>
      <w:rFonts w:eastAsia="Times New Roman"/>
      <w:sz w:val="24"/>
      <w:lang w:eastAsia="ru-RU"/>
    </w:rPr>
  </w:style>
  <w:style w:type="paragraph" w:styleId="973" w:customStyle="1">
    <w:name w:val="formattext"/>
    <w:basedOn w:val="767"/>
    <w:qFormat/>
    <w:pPr>
      <w:spacing w:beforeAutospacing="1" w:afterAutospacing="1"/>
    </w:pPr>
    <w:rPr>
      <w:rFonts w:eastAsia="Times New Roman"/>
      <w:sz w:val="24"/>
      <w:lang w:eastAsia="ru-RU"/>
    </w:rPr>
  </w:style>
  <w:style w:type="paragraph" w:styleId="974">
    <w:name w:val="Balloon Text"/>
    <w:basedOn w:val="767"/>
    <w:link w:val="95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975">
    <w:name w:val="List Paragraph"/>
    <w:basedOn w:val="767"/>
    <w:uiPriority w:val="34"/>
    <w:qFormat/>
    <w:pPr>
      <w:numPr>
        <w:ilvl w:val="0"/>
        <w:numId w:val="1"/>
      </w:numPr>
      <w:contextualSpacing/>
      <w:ind w:left="0" w:firstLine="357"/>
    </w:pPr>
    <w:rPr>
      <w:rFonts w:ascii="Liberation Serif" w:hAnsi="Liberation Serif" w:eastAsia="Times New Roman" w:cs="Arial"/>
      <w:color w:val="000000"/>
      <w:szCs w:val="28"/>
    </w:rPr>
  </w:style>
  <w:style w:type="paragraph" w:styleId="976">
    <w:name w:val="No Spacing"/>
    <w:uiPriority w:val="1"/>
    <w:qFormat/>
  </w:style>
  <w:style w:type="paragraph" w:styleId="977" w:customStyle="1">
    <w:name w:val="Содержимое врезки (user)"/>
    <w:basedOn w:val="767"/>
    <w:qFormat/>
  </w:style>
  <w:style w:type="paragraph" w:styleId="978" w:customStyle="1">
    <w:name w:val="Содержимое врезки"/>
    <w:basedOn w:val="767"/>
    <w:qFormat/>
  </w:style>
  <w:style w:type="paragraph" w:styleId="979" w:customStyle="1">
    <w:name w:val="Колонтитулы"/>
    <w:basedOn w:val="767"/>
    <w:qFormat/>
    <w:pPr>
      <w:tabs>
        <w:tab w:val="center" w:pos="4749" w:leader="none"/>
        <w:tab w:val="right" w:pos="9498" w:leader="none"/>
      </w:tabs>
      <w:suppressLineNumbers/>
    </w:pPr>
  </w:style>
  <w:style w:type="paragraph" w:styleId="980" w:customStyle="1">
    <w:name w:val="Колонтитулы (user)"/>
    <w:basedOn w:val="767"/>
    <w:qFormat/>
  </w:style>
  <w:style w:type="paragraph" w:styleId="981">
    <w:name w:val="Footer"/>
    <w:basedOn w:val="979"/>
    <w:link w:val="813"/>
  </w:style>
  <w:style w:type="paragraph" w:styleId="982">
    <w:name w:val="Header"/>
    <w:basedOn w:val="979"/>
    <w:link w:val="812"/>
    <w:uiPriority w:val="99"/>
  </w:style>
  <w:style w:type="numbering" w:styleId="983" w:customStyle="1">
    <w:name w:val="Без списка (user)"/>
    <w:uiPriority w:val="99"/>
    <w:semiHidden/>
    <w:unhideWhenUsed/>
    <w:qFormat/>
  </w:style>
  <w:style w:type="table" w:styleId="984">
    <w:name w:val="Table Grid"/>
    <w:basedOn w:val="778"/>
    <w:uiPriority w:val="39"/>
    <w:rPr>
      <w:rFonts w:eastAsiaTheme="minorEastAsia"/>
      <w:sz w:val="24"/>
      <w:szCs w:val="21"/>
      <w:lang w:eastAsia="zh-CN" w:bidi="hi-I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85">
    <w:name w:val="FollowedHyperlink"/>
    <w:basedOn w:val="777"/>
    <w:uiPriority w:val="99"/>
    <w:semiHidden/>
    <w:unhideWhenUsed/>
    <w:rPr>
      <w:color w:val="954f72" w:themeColor="followedHyperlink"/>
      <w:u w:val="single"/>
    </w:rPr>
  </w:style>
  <w:style w:type="paragraph" w:styleId="986" w:customStyle="1">
    <w:name w:val="ConsPlusNormal"/>
    <w:pPr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87" w:customStyle="1">
    <w:name w:val="Нумерация1"/>
    <w:basedOn w:val="975"/>
    <w:qFormat/>
    <w:pPr>
      <w:numPr>
        <w:ilvl w:val="0"/>
        <w:numId w:val="6"/>
      </w:numPr>
    </w:pPr>
    <w:rPr>
      <w:rFonts w:ascii="Times New Roman" w:hAnsi="Times New Roman"/>
    </w:rPr>
  </w:style>
  <w:style w:type="character" w:styleId="988">
    <w:name w:val="annotation reference"/>
    <w:basedOn w:val="777"/>
    <w:uiPriority w:val="99"/>
    <w:semiHidden/>
    <w:unhideWhenUsed/>
    <w:rPr>
      <w:sz w:val="16"/>
      <w:szCs w:val="16"/>
    </w:rPr>
  </w:style>
  <w:style w:type="paragraph" w:styleId="989">
    <w:name w:val="annotation text"/>
    <w:basedOn w:val="767"/>
    <w:link w:val="990"/>
    <w:uiPriority w:val="99"/>
    <w:semiHidden/>
    <w:unhideWhenUsed/>
    <w:rPr>
      <w:sz w:val="20"/>
      <w:szCs w:val="20"/>
    </w:rPr>
  </w:style>
  <w:style w:type="character" w:styleId="990" w:customStyle="1">
    <w:name w:val="Текст примечания Знак"/>
    <w:basedOn w:val="777"/>
    <w:link w:val="989"/>
    <w:uiPriority w:val="99"/>
    <w:semiHidden/>
    <w:rPr>
      <w:rFonts w:ascii="Times New Roman" w:hAnsi="Times New Roman" w:cs="Times New Roman"/>
      <w:sz w:val="20"/>
      <w:szCs w:val="20"/>
    </w:rPr>
  </w:style>
  <w:style w:type="paragraph" w:styleId="991">
    <w:name w:val="annotation subject"/>
    <w:basedOn w:val="989"/>
    <w:next w:val="989"/>
    <w:link w:val="992"/>
    <w:uiPriority w:val="99"/>
    <w:semiHidden/>
    <w:unhideWhenUsed/>
    <w:rPr>
      <w:b/>
      <w:bCs/>
    </w:rPr>
  </w:style>
  <w:style w:type="character" w:styleId="992" w:customStyle="1">
    <w:name w:val="Тема примечания Знак"/>
    <w:basedOn w:val="990"/>
    <w:link w:val="991"/>
    <w:uiPriority w:val="99"/>
    <w:semiHidden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docs.cntd.ru/document/1312976081" TargetMode="External"/><Relationship Id="rId13" Type="http://schemas.openxmlformats.org/officeDocument/2006/relationships/hyperlink" Target="https://docs.cntd.ru/document/1312976081" TargetMode="External"/><Relationship Id="rId14" Type="http://schemas.openxmlformats.org/officeDocument/2006/relationships/hyperlink" Target="https://docs.cntd.ru/document/902342542" TargetMode="External"/><Relationship Id="rId15" Type="http://schemas.openxmlformats.org/officeDocument/2006/relationships/hyperlink" Target="https://docs.cntd.ru/document/902342542" TargetMode="External"/><Relationship Id="rId16" Type="http://schemas.openxmlformats.org/officeDocument/2006/relationships/hyperlink" Target="https://docs.cntd.ru/document/1312976081" TargetMode="External"/><Relationship Id="rId17" Type="http://schemas.openxmlformats.org/officeDocument/2006/relationships/hyperlink" Target="https://docs.cntd.ru/document/902342542" TargetMode="External"/><Relationship Id="rId18" Type="http://schemas.openxmlformats.org/officeDocument/2006/relationships/hyperlink" Target="https://docs.cntd.ru/document/1312976081" TargetMode="External"/><Relationship Id="rId19" Type="http://schemas.openxmlformats.org/officeDocument/2006/relationships/hyperlink" Target="https://login.consultant.ru/link/?req=doc&amp;base=LAW&amp;n=523556&amp;dst=100365" TargetMode="External"/><Relationship Id="rId20" Type="http://schemas.openxmlformats.org/officeDocument/2006/relationships/hyperlink" Target="https://login.consultant.ru/link/?req=doc&amp;base=LAW&amp;n=523556&amp;dst=100373" TargetMode="External"/><Relationship Id="rId21" Type="http://schemas.openxmlformats.org/officeDocument/2006/relationships/hyperlink" Target="https://login.consultant.ru/link/?req=doc&amp;base=LAW&amp;n=523556&amp;dst=411" TargetMode="External"/><Relationship Id="rId22" Type="http://schemas.openxmlformats.org/officeDocument/2006/relationships/hyperlink" Target="https://login.consultant.ru/link/?req=doc&amp;base=LAW&amp;n=506958&amp;dst=100011" TargetMode="External"/><Relationship Id="rId23" Type="http://schemas.openxmlformats.org/officeDocument/2006/relationships/hyperlink" Target="https://login.consultant.ru/link/?req=doc&amp;base=LAW&amp;n=358721&amp;dst=100015" TargetMode="External"/><Relationship Id="rId24" Type="http://schemas.openxmlformats.org/officeDocument/2006/relationships/hyperlink" Target="https://login.consultant.ru/link/?req=doc&amp;base=LAW&amp;n=506074&amp;dst=100013" TargetMode="External"/><Relationship Id="rId25" Type="http://schemas.openxmlformats.org/officeDocument/2006/relationships/hyperlink" Target="https://login.consultant.ru/link/?req=doc&amp;base=LAW&amp;n=506075&amp;dst=100011" TargetMode="External"/><Relationship Id="rId26" Type="http://schemas.openxmlformats.org/officeDocument/2006/relationships/hyperlink" Target="https://login.consultant.ru/link/?req=doc&amp;base=LAW&amp;n=505342&amp;dst=100011" TargetMode="External"/><Relationship Id="rId27" Type="http://schemas.openxmlformats.org/officeDocument/2006/relationships/hyperlink" Target="https://login.consultant.ru/link/?req=doc&amp;base=LAW&amp;n=372736&amp;dst=100010" TargetMode="External"/><Relationship Id="rId28" Type="http://schemas.openxmlformats.org/officeDocument/2006/relationships/hyperlink" Target="https://login.consultant.ru/link/?req=doc&amp;base=LAW&amp;n=425761&amp;dst=100012" TargetMode="External"/><Relationship Id="rId29" Type="http://schemas.openxmlformats.org/officeDocument/2006/relationships/hyperlink" Target="https://login.consultant.ru/link/?req=doc&amp;base=LAW&amp;n=341304" TargetMode="External"/><Relationship Id="rId30" Type="http://schemas.openxmlformats.org/officeDocument/2006/relationships/hyperlink" Target="https://normativ.kontur.ru/document?moduleId=1&amp;documentId=500432" TargetMode="External"/><Relationship Id="rId31" Type="http://schemas.openxmlformats.org/officeDocument/2006/relationships/hyperlink" Target="https://normativ.kontur.ru/document?moduleId=1&amp;documentId=494868" TargetMode="External"/><Relationship Id="rId3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0FA09-5BEC-4B94-BDA7-70D445A08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Малямова Любовь Николаевна</dc:creator>
  <dc:language>ru-RU</dc:language>
  <cp:lastModifiedBy>oa_ovcharenko</cp:lastModifiedBy>
  <cp:revision>19</cp:revision>
  <dcterms:created xsi:type="dcterms:W3CDTF">2026-10-08T08:00:00Z</dcterms:created>
  <dcterms:modified xsi:type="dcterms:W3CDTF">2026-10-08T11:49:30Z</dcterms:modified>
</cp:coreProperties>
</file>