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69"/>
        <w:jc w:val="center"/>
        <w:rPr>
          <w:rFonts w:eastAsia="Calibri"/>
          <w:sz w:val="26"/>
          <w:szCs w:val="26"/>
          <w:highlight w:val="yellow"/>
        </w:rPr>
      </w:pPr>
      <w:r>
        <w:rPr>
          <w:rFonts w:ascii="Calibri" w:hAnsi="Calibri" w:eastAsia="Calibri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28650" cy="771525"/>
                <wp:effectExtent l="0" t="0" r="0" b="0"/>
                <wp:docPr id="1" name="_x0000_i102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628650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9.50pt;height:60.75pt;mso-wrap-distance-left:0.00pt;mso-wrap-distance-top:0.00pt;mso-wrap-distance-right:0.00pt;mso-wrap-distance-bottom:0.00pt;" stroked="f">
                <v:path textboxrect="0,0,0,0"/>
                <v:imagedata r:id="rId9" o:title=""/>
              </v:shape>
            </w:pict>
          </mc:Fallback>
        </mc:AlternateContent>
      </w:r>
      <w:r>
        <w:rPr>
          <w:rFonts w:eastAsia="Calibri"/>
          <w:sz w:val="26"/>
          <w:szCs w:val="26"/>
          <w:highlight w:val="yellow"/>
        </w:rPr>
      </w:r>
      <w:r>
        <w:rPr>
          <w:rFonts w:eastAsia="Calibri"/>
          <w:sz w:val="26"/>
          <w:szCs w:val="26"/>
          <w:highlight w:val="yellow"/>
        </w:rPr>
      </w:r>
    </w:p>
    <w:p>
      <w:pPr>
        <w:pStyle w:val="869"/>
        <w:ind w:right="-5"/>
        <w:jc w:val="center"/>
        <w:keepNext/>
        <w:rPr>
          <w:b/>
          <w:iCs/>
          <w:caps/>
          <w:color w:val="548dd4"/>
          <w:spacing w:val="-2"/>
          <w:sz w:val="24"/>
          <w:szCs w:val="24"/>
        </w:rPr>
        <w:outlineLvl w:val="3"/>
      </w:pPr>
      <w:r>
        <w:rPr>
          <w:iCs/>
          <w:caps/>
          <w:color w:val="548dd4"/>
          <w:sz w:val="24"/>
          <w:szCs w:val="24"/>
        </w:rPr>
        <w:t xml:space="preserve">Администрация</w:t>
      </w:r>
      <w:r>
        <w:rPr>
          <w:iCs/>
          <w:caps/>
          <w:color w:val="548dd4"/>
          <w:sz w:val="24"/>
          <w:szCs w:val="24"/>
        </w:rPr>
        <w:t xml:space="preserve"> </w:t>
      </w:r>
      <w:r>
        <w:rPr>
          <w:iCs/>
          <w:caps/>
          <w:color w:val="548dd4"/>
          <w:spacing w:val="-2"/>
          <w:sz w:val="24"/>
          <w:szCs w:val="24"/>
        </w:rPr>
        <w:t xml:space="preserve">Ленинградской области</w:t>
      </w:r>
      <w:r>
        <w:rPr>
          <w:b/>
          <w:iCs/>
          <w:caps/>
          <w:color w:val="548dd4"/>
          <w:spacing w:val="-2"/>
          <w:sz w:val="24"/>
          <w:szCs w:val="24"/>
        </w:rPr>
      </w:r>
      <w:r>
        <w:rPr>
          <w:b/>
          <w:iCs/>
          <w:caps/>
          <w:color w:val="548dd4"/>
          <w:spacing w:val="-2"/>
          <w:sz w:val="24"/>
          <w:szCs w:val="24"/>
        </w:rPr>
      </w:r>
    </w:p>
    <w:p>
      <w:pPr>
        <w:pStyle w:val="869"/>
        <w:ind w:right="-5"/>
        <w:jc w:val="center"/>
        <w:rPr>
          <w:caps/>
          <w:color w:val="548dd4"/>
          <w:sz w:val="13"/>
          <w:szCs w:val="13"/>
          <w:highlight w:val="yellow"/>
        </w:rPr>
      </w:pPr>
      <w:r>
        <w:rPr>
          <w:caps/>
          <w:color w:val="548dd4"/>
          <w:sz w:val="13"/>
          <w:szCs w:val="13"/>
          <w:highlight w:val="yellow"/>
        </w:rPr>
      </w:r>
      <w:r>
        <w:rPr>
          <w:caps/>
          <w:color w:val="548dd4"/>
          <w:sz w:val="13"/>
          <w:szCs w:val="13"/>
          <w:highlight w:val="yellow"/>
        </w:rPr>
      </w:r>
      <w:r>
        <w:rPr>
          <w:caps/>
          <w:color w:val="548dd4"/>
          <w:sz w:val="13"/>
          <w:szCs w:val="13"/>
          <w:highlight w:val="yellow"/>
        </w:rPr>
      </w:r>
    </w:p>
    <w:p>
      <w:pPr>
        <w:pStyle w:val="869"/>
        <w:ind w:right="-5"/>
        <w:jc w:val="center"/>
        <w:tabs>
          <w:tab w:val="left" w:pos="4116" w:leader="none"/>
        </w:tabs>
        <w:rPr>
          <w:b/>
          <w:caps/>
          <w:color w:val="548dd4"/>
          <w:spacing w:val="-8"/>
          <w:u w:val="single"/>
        </w:rPr>
      </w:pPr>
      <w:r>
        <w:rPr>
          <w:b/>
          <w:caps/>
          <w:color w:val="548dd4"/>
          <w:spacing w:val="-8"/>
        </w:rPr>
        <w:t xml:space="preserve">КОМИТЕТ государственного экологического надзора</w:t>
      </w:r>
      <w:r>
        <w:rPr>
          <w:b/>
          <w:caps/>
          <w:color w:val="548dd4"/>
          <w:spacing w:val="-8"/>
          <w:u w:val="single"/>
        </w:rPr>
      </w:r>
      <w:r>
        <w:rPr>
          <w:b/>
          <w:caps/>
          <w:color w:val="548dd4"/>
          <w:spacing w:val="-8"/>
          <w:u w:val="single"/>
        </w:rPr>
      </w:r>
    </w:p>
    <w:p>
      <w:pPr>
        <w:pStyle w:val="869"/>
        <w:ind w:right="-5"/>
        <w:jc w:val="center"/>
        <w:tabs>
          <w:tab w:val="left" w:pos="4116" w:leader="none"/>
        </w:tabs>
        <w:rPr>
          <w:b/>
          <w:caps/>
          <w:color w:val="548dd4"/>
        </w:rPr>
      </w:pPr>
      <w:r>
        <w:rPr>
          <w:b/>
          <w:caps/>
          <w:color w:val="548dd4"/>
        </w:rPr>
        <w:t xml:space="preserve">ленинградской области</w:t>
      </w:r>
      <w:r>
        <w:rPr>
          <w:b/>
          <w:caps/>
          <w:color w:val="548dd4"/>
        </w:rPr>
      </w:r>
      <w:r>
        <w:rPr>
          <w:b/>
          <w:caps/>
          <w:color w:val="548dd4"/>
        </w:rPr>
      </w:r>
    </w:p>
    <w:p>
      <w:pPr>
        <w:pStyle w:val="869"/>
        <w:ind w:right="-5"/>
        <w:jc w:val="center"/>
        <w:rPr>
          <w:caps/>
          <w:color w:val="548dd4"/>
          <w:sz w:val="27"/>
          <w:szCs w:val="27"/>
          <w:highlight w:val="yellow"/>
        </w:rPr>
      </w:pPr>
      <w:r>
        <w:rPr>
          <w:caps/>
          <w:color w:val="548dd4"/>
          <w:sz w:val="27"/>
          <w:szCs w:val="27"/>
          <w:highlight w:val="yellow"/>
        </w:rPr>
      </w:r>
      <w:r>
        <w:rPr>
          <w:caps/>
          <w:color w:val="548dd4"/>
          <w:sz w:val="27"/>
          <w:szCs w:val="27"/>
          <w:highlight w:val="yellow"/>
        </w:rPr>
      </w:r>
      <w:r>
        <w:rPr>
          <w:caps/>
          <w:color w:val="548dd4"/>
          <w:sz w:val="27"/>
          <w:szCs w:val="27"/>
          <w:highlight w:val="yellow"/>
        </w:rPr>
      </w:r>
    </w:p>
    <w:p>
      <w:pPr>
        <w:pStyle w:val="869"/>
        <w:ind w:hanging="240"/>
        <w:jc w:val="center"/>
        <w:tabs>
          <w:tab w:val="left" w:pos="3720" w:leader="none"/>
          <w:tab w:val="left" w:pos="3960" w:leader="none"/>
          <w:tab w:val="left" w:pos="4200" w:leader="none"/>
        </w:tabs>
        <w:rPr>
          <w:b/>
          <w:sz w:val="27"/>
          <w:szCs w:val="27"/>
        </w:rPr>
        <w:outlineLvl w:val="0"/>
      </w:pPr>
      <w:r>
        <w:rPr>
          <w:b/>
          <w:sz w:val="27"/>
          <w:szCs w:val="27"/>
        </w:rPr>
        <w:t xml:space="preserve">ПРИКАЗ</w:t>
      </w:r>
      <w:r>
        <w:rPr>
          <w:b/>
          <w:sz w:val="27"/>
          <w:szCs w:val="27"/>
        </w:rPr>
      </w:r>
      <w:r>
        <w:rPr>
          <w:b/>
          <w:sz w:val="27"/>
          <w:szCs w:val="27"/>
        </w:rPr>
      </w:r>
    </w:p>
    <w:p>
      <w:pPr>
        <w:pStyle w:val="873"/>
        <w:jc w:val="both"/>
        <w:widowControl/>
        <w:tabs>
          <w:tab w:val="left" w:pos="4224" w:leader="none"/>
        </w:tabs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pStyle w:val="869"/>
        <w:rPr>
          <w:sz w:val="27"/>
          <w:szCs w:val="27"/>
          <w:u w:val="single"/>
        </w:rPr>
      </w:pPr>
      <w:r>
        <w:rPr>
          <w:sz w:val="27"/>
          <w:szCs w:val="27"/>
        </w:rPr>
        <w:t xml:space="preserve">от «</w:t>
      </w:r>
      <w:r>
        <w:rPr>
          <w:sz w:val="27"/>
          <w:szCs w:val="27"/>
          <w:u w:val="single"/>
        </w:rPr>
        <w:t xml:space="preserve"> </w:t>
      </w:r>
      <w:r>
        <w:rPr>
          <w:sz w:val="27"/>
          <w:szCs w:val="27"/>
          <w:u w:val="single"/>
        </w:rPr>
        <w:t xml:space="preserve">  </w:t>
      </w:r>
      <w:r>
        <w:rPr>
          <w:sz w:val="27"/>
          <w:szCs w:val="27"/>
          <w:u w:val="single"/>
        </w:rPr>
        <w:t xml:space="preserve"> </w:t>
      </w:r>
      <w:r>
        <w:rPr>
          <w:sz w:val="27"/>
          <w:szCs w:val="27"/>
          <w:u w:val="single"/>
        </w:rPr>
        <w:t xml:space="preserve"> </w:t>
      </w:r>
      <w:r>
        <w:rPr>
          <w:sz w:val="27"/>
          <w:szCs w:val="27"/>
        </w:rPr>
        <w:t xml:space="preserve">» </w:t>
      </w:r>
      <w:r>
        <w:rPr>
          <w:sz w:val="27"/>
          <w:szCs w:val="27"/>
        </w:rPr>
        <w:t xml:space="preserve">_________</w:t>
      </w:r>
      <w:r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202</w:t>
      </w:r>
      <w:r>
        <w:rPr>
          <w:sz w:val="27"/>
          <w:szCs w:val="27"/>
        </w:rPr>
        <w:t xml:space="preserve">6</w:t>
      </w:r>
      <w:r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года                          </w:t>
      </w:r>
      <w:r>
        <w:rPr>
          <w:sz w:val="27"/>
          <w:szCs w:val="27"/>
        </w:rPr>
        <w:t xml:space="preserve">                 </w:t>
      </w:r>
      <w:r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                      </w:t>
      </w:r>
      <w:r>
        <w:rPr>
          <w:sz w:val="27"/>
          <w:szCs w:val="27"/>
        </w:rPr>
        <w:t xml:space="preserve">№ </w:t>
      </w:r>
      <w:r>
        <w:rPr>
          <w:sz w:val="27"/>
          <w:szCs w:val="27"/>
        </w:rPr>
        <w:t xml:space="preserve">_______________</w:t>
      </w:r>
      <w:r>
        <w:rPr>
          <w:sz w:val="27"/>
          <w:szCs w:val="27"/>
          <w:u w:val="single"/>
        </w:rPr>
      </w:r>
      <w:r>
        <w:rPr>
          <w:sz w:val="27"/>
          <w:szCs w:val="27"/>
          <w:u w:val="single"/>
        </w:rPr>
      </w:r>
    </w:p>
    <w:p>
      <w:pPr>
        <w:pStyle w:val="869"/>
        <w:rPr>
          <w:b/>
          <w:sz w:val="27"/>
          <w:szCs w:val="27"/>
        </w:rPr>
      </w:pPr>
      <w:r>
        <w:rPr>
          <w:b/>
          <w:sz w:val="27"/>
          <w:szCs w:val="27"/>
        </w:rPr>
      </w:r>
      <w:r>
        <w:rPr>
          <w:b/>
          <w:sz w:val="27"/>
          <w:szCs w:val="27"/>
        </w:rPr>
      </w:r>
      <w:r>
        <w:rPr>
          <w:b/>
          <w:sz w:val="27"/>
          <w:szCs w:val="27"/>
        </w:rPr>
      </w:r>
    </w:p>
    <w:p>
      <w:pPr>
        <w:pStyle w:val="869"/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 xml:space="preserve">О внесении изменений в приказ Комитета государственного</w:t>
      </w:r>
      <w:r>
        <w:rPr>
          <w:b/>
          <w:sz w:val="27"/>
          <w:szCs w:val="27"/>
        </w:rPr>
      </w:r>
      <w:r>
        <w:rPr>
          <w:b/>
          <w:sz w:val="27"/>
          <w:szCs w:val="27"/>
        </w:rPr>
      </w:r>
    </w:p>
    <w:p>
      <w:pPr>
        <w:pStyle w:val="869"/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 xml:space="preserve"> экологического надзора Ленинградской области </w:t>
      </w:r>
      <w:r>
        <w:rPr>
          <w:b/>
          <w:sz w:val="27"/>
          <w:szCs w:val="27"/>
        </w:rPr>
      </w:r>
      <w:r>
        <w:rPr>
          <w:b/>
          <w:sz w:val="27"/>
          <w:szCs w:val="27"/>
        </w:rPr>
      </w:r>
    </w:p>
    <w:p>
      <w:pPr>
        <w:pStyle w:val="869"/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 xml:space="preserve">от 1 марта 2022</w:t>
      </w:r>
      <w:r>
        <w:rPr>
          <w:b/>
          <w:sz w:val="27"/>
          <w:szCs w:val="27"/>
        </w:rPr>
        <w:t xml:space="preserve"> № 1.3-01-3</w:t>
      </w:r>
      <w:r>
        <w:rPr>
          <w:b/>
          <w:sz w:val="27"/>
          <w:szCs w:val="27"/>
        </w:rPr>
        <w:t xml:space="preserve"> «Об </w:t>
      </w:r>
      <w:r>
        <w:rPr>
          <w:b/>
          <w:sz w:val="27"/>
          <w:szCs w:val="27"/>
        </w:rPr>
        <w:t xml:space="preserve">утверждении форм проверочных листов (списков контрольных вопросов, ответы на которые свидетельствуют о соблюдении </w:t>
        <w:br/>
        <w:t xml:space="preserve">или несоблюдении контролируемым лицом обязательных требований)</w:t>
      </w:r>
      <w:r>
        <w:rPr>
          <w:b/>
          <w:sz w:val="27"/>
          <w:szCs w:val="27"/>
        </w:rPr>
        <w:t xml:space="preserve">»</w:t>
      </w:r>
      <w:r>
        <w:rPr>
          <w:b/>
          <w:sz w:val="27"/>
          <w:szCs w:val="27"/>
        </w:rPr>
      </w:r>
      <w:r>
        <w:rPr>
          <w:b/>
          <w:sz w:val="27"/>
          <w:szCs w:val="27"/>
        </w:rPr>
      </w:r>
    </w:p>
    <w:p>
      <w:pPr>
        <w:pStyle w:val="869"/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</w:r>
      <w:r>
        <w:rPr>
          <w:b/>
          <w:sz w:val="27"/>
          <w:szCs w:val="27"/>
        </w:rPr>
      </w:r>
      <w:r>
        <w:rPr>
          <w:b/>
          <w:sz w:val="27"/>
          <w:szCs w:val="27"/>
        </w:rPr>
      </w:r>
    </w:p>
    <w:p>
      <w:pPr>
        <w:pStyle w:val="869"/>
        <w:ind w:firstLine="709"/>
        <w:jc w:val="both"/>
        <w:tabs>
          <w:tab w:val="left" w:pos="993" w:leader="none"/>
        </w:tabs>
        <w:rPr>
          <w:sz w:val="27"/>
          <w:szCs w:val="27"/>
          <w:highlight w:val="none"/>
        </w:rPr>
      </w:pPr>
      <w:r>
        <w:rPr>
          <w:sz w:val="27"/>
          <w:szCs w:val="27"/>
        </w:rPr>
      </w:r>
      <w:r>
        <w:rPr>
          <w:sz w:val="27"/>
          <w:szCs w:val="27"/>
        </w:rPr>
        <w:t xml:space="preserve">В целях приведения нормативных правовых актов Комитета государственного экологического надзора Ленинградской области в соответствие с действующим законодательством приказываю:</w:t>
      </w:r>
      <w:r>
        <w:rPr>
          <w:sz w:val="27"/>
          <w:szCs w:val="27"/>
          <w:highlight w:val="none"/>
        </w:rPr>
      </w:r>
      <w:r>
        <w:rPr>
          <w:sz w:val="27"/>
          <w:szCs w:val="27"/>
          <w:highlight w:val="none"/>
        </w:rPr>
      </w:r>
    </w:p>
    <w:p>
      <w:pPr>
        <w:ind w:firstLine="709"/>
        <w:jc w:val="both"/>
        <w:tabs>
          <w:tab w:val="left" w:pos="993" w:leader="none"/>
        </w:tabs>
        <w:rPr>
          <w:sz w:val="27"/>
          <w:szCs w:val="27"/>
        </w:rPr>
      </w:pPr>
      <w:r>
        <w:rPr>
          <w:sz w:val="27"/>
          <w:szCs w:val="27"/>
          <w:highlight w:val="none"/>
        </w:rPr>
      </w:r>
      <w:r>
        <w:rPr>
          <w:sz w:val="27"/>
          <w:szCs w:val="27"/>
          <w:highlight w:val="none"/>
        </w:rPr>
      </w:r>
      <w:r>
        <w:rPr>
          <w:sz w:val="27"/>
          <w:szCs w:val="27"/>
        </w:rPr>
      </w:r>
    </w:p>
    <w:p>
      <w:pPr>
        <w:pStyle w:val="869"/>
        <w:ind w:firstLine="709"/>
        <w:jc w:val="both"/>
      </w:pPr>
      <w:r>
        <w:rPr>
          <w:sz w:val="27"/>
          <w:szCs w:val="27"/>
        </w:rPr>
        <w:t xml:space="preserve">1. </w:t>
      </w:r>
      <w:r>
        <w:rPr>
          <w:sz w:val="27"/>
          <w:szCs w:val="27"/>
        </w:rPr>
        <w:t xml:space="preserve">Внести в раздел «Список контрольных вопросов, отражающих содержание обязательных требований, ответы на которые свидетельствуют о соблюдении </w:t>
        <w:br/>
        <w:t xml:space="preserve">или несоблюдении контролируемым лицом обязательных требований» приложения </w:t>
        <w:br/>
        <w:t xml:space="preserve">№ 1 к приказу Комитета государственного </w:t>
      </w:r>
      <w:r>
        <w:rPr>
          <w:sz w:val="27"/>
          <w:szCs w:val="27"/>
        </w:rPr>
        <w:t xml:space="preserve">эк</w:t>
      </w:r>
      <w:r>
        <w:rPr>
          <w:sz w:val="27"/>
          <w:szCs w:val="27"/>
        </w:rPr>
        <w:t xml:space="preserve">ологического надзора Ленинградской области от 01.03.2022 № 1.3-01-3 «Об утверждении форм проверочных листов (списков контрольных вопросов, ответы на которые свидетельствуют о соблюдении </w:t>
        <w:br/>
        <w:t xml:space="preserve">или несоблюдении контролируемым лицом обязательных требований)» (дале</w:t>
      </w:r>
      <w:r>
        <w:rPr>
          <w:sz w:val="27"/>
          <w:szCs w:val="27"/>
        </w:rPr>
        <w:t xml:space="preserve">е - приказ от 01.03.2022 № 1.3-01-3) следующие изменения:</w:t>
      </w:r>
      <w:r/>
    </w:p>
    <w:p>
      <w:pPr>
        <w:pStyle w:val="869"/>
        <w:ind w:firstLine="709"/>
        <w:jc w:val="both"/>
      </w:pPr>
      <w:r>
        <w:rPr>
          <w:sz w:val="27"/>
          <w:szCs w:val="27"/>
        </w:rPr>
        <w:t xml:space="preserve">1) в пункте 13 столбца «Реквизиты нормативных правовых актов»:</w:t>
      </w:r>
      <w:r/>
    </w:p>
    <w:p>
      <w:pPr>
        <w:pStyle w:val="869"/>
        <w:ind w:firstLine="709"/>
        <w:jc w:val="both"/>
      </w:pPr>
      <w:r>
        <w:rPr>
          <w:sz w:val="27"/>
          <w:szCs w:val="27"/>
        </w:rPr>
        <w:t xml:space="preserve">слова «</w:t>
      </w:r>
      <w:r>
        <w:rPr>
          <w:sz w:val="27"/>
          <w:szCs w:val="27"/>
        </w:rPr>
        <w:t xml:space="preserve">Порядок ведения собственниками водных объектов и водопользователями учета объема забора (изъятия) водных ресурсов из водных объектов и объема сброса сточных, в том числе дренажных, вод, их качества, утвержденный приказом Минприроды России от 09.11.2020 № 90</w:t>
      </w:r>
      <w:r>
        <w:rPr>
          <w:sz w:val="27"/>
          <w:szCs w:val="27"/>
        </w:rPr>
        <w:t xml:space="preserve">3</w:t>
      </w:r>
      <w:r>
        <w:rPr>
          <w:sz w:val="27"/>
          <w:szCs w:val="27"/>
        </w:rPr>
        <w:t xml:space="preserve">»</w:t>
      </w:r>
      <w:r>
        <w:rPr>
          <w:sz w:val="27"/>
          <w:szCs w:val="27"/>
        </w:rPr>
        <w:t xml:space="preserve"> заменить словами «П</w:t>
      </w:r>
      <w:r>
        <w:rPr>
          <w:b w:val="0"/>
          <w:bCs w:val="0"/>
          <w:sz w:val="27"/>
          <w:szCs w:val="27"/>
        </w:rPr>
        <w:t xml:space="preserve">орядок </w:t>
      </w:r>
      <w:r/>
      <w:r>
        <w:rPr>
          <w:b w:val="0"/>
          <w:bCs w:val="0"/>
          <w:sz w:val="27"/>
          <w:szCs w:val="27"/>
        </w:rPr>
        <w:t xml:space="preserve">ведения собственниками водных объектов и водопользователями</w:t>
      </w:r>
      <w:r>
        <w:rPr>
          <w:b w:val="0"/>
          <w:bCs w:val="0"/>
          <w:sz w:val="27"/>
          <w:szCs w:val="27"/>
        </w:rPr>
        <w:t xml:space="preserve"> </w:t>
      </w:r>
      <w:r>
        <w:rPr>
          <w:b w:val="0"/>
          <w:bCs w:val="0"/>
          <w:sz w:val="27"/>
          <w:szCs w:val="27"/>
        </w:rPr>
      </w:r>
      <w:r>
        <w:rPr>
          <w:b w:val="0"/>
          <w:bCs w:val="0"/>
          <w:sz w:val="27"/>
          <w:szCs w:val="27"/>
        </w:rPr>
        <w:t xml:space="preserve">учета объема забора (изъятия) водных ресурсов из водных</w:t>
      </w:r>
      <w:r>
        <w:rPr>
          <w:b w:val="0"/>
          <w:bCs w:val="0"/>
          <w:sz w:val="27"/>
          <w:szCs w:val="27"/>
        </w:rPr>
        <w:t xml:space="preserve"> </w:t>
      </w:r>
      <w:r>
        <w:rPr>
          <w:b w:val="0"/>
          <w:bCs w:val="0"/>
          <w:sz w:val="27"/>
          <w:szCs w:val="27"/>
        </w:rPr>
      </w:r>
      <w:r>
        <w:rPr>
          <w:b w:val="0"/>
          <w:bCs w:val="0"/>
          <w:sz w:val="27"/>
          <w:szCs w:val="27"/>
        </w:rPr>
        <w:t xml:space="preserve">объектов и объема сброса сточных, в том числе дренажных,</w:t>
      </w:r>
      <w:r>
        <w:rPr>
          <w:b w:val="0"/>
          <w:bCs w:val="0"/>
          <w:sz w:val="27"/>
          <w:szCs w:val="27"/>
        </w:rPr>
        <w:t xml:space="preserve"> </w:t>
      </w:r>
      <w:r>
        <w:rPr>
          <w:b w:val="0"/>
          <w:bCs w:val="0"/>
          <w:sz w:val="27"/>
          <w:szCs w:val="27"/>
        </w:rPr>
        <w:t xml:space="preserve">вод, их качества, утвержденный </w:t>
      </w:r>
      <w:r>
        <w:rPr>
          <w:b w:val="0"/>
          <w:bCs w:val="0"/>
          <w:sz w:val="27"/>
          <w:szCs w:val="27"/>
        </w:rPr>
      </w:r>
      <w:r>
        <w:rPr>
          <w:sz w:val="27"/>
          <w:szCs w:val="27"/>
        </w:rPr>
        <w:t xml:space="preserve">Приказом Минприроды России от 27.05.2026 № 311»</w:t>
      </w:r>
      <w:r>
        <w:rPr>
          <w:sz w:val="27"/>
          <w:szCs w:val="27"/>
        </w:rPr>
        <w:t xml:space="preserve">;</w:t>
      </w:r>
      <w:r>
        <w:rPr>
          <w:sz w:val="27"/>
          <w:szCs w:val="27"/>
          <w:highlight w:val="none"/>
        </w:rPr>
      </w:r>
      <w:r/>
      <w:r>
        <w:rPr>
          <w:b w:val="0"/>
          <w:bCs w:val="0"/>
          <w:sz w:val="27"/>
          <w:szCs w:val="27"/>
        </w:rPr>
      </w:r>
    </w:p>
    <w:p>
      <w:pPr>
        <w:pStyle w:val="869"/>
        <w:ind w:firstLine="709"/>
        <w:jc w:val="both"/>
        <w:rPr>
          <w:sz w:val="27"/>
          <w:szCs w:val="27"/>
        </w:rPr>
      </w:pPr>
      <w:r>
        <w:rPr>
          <w:sz w:val="27"/>
          <w:szCs w:val="27"/>
          <w:highlight w:val="none"/>
        </w:rPr>
        <w:t xml:space="preserve">2) </w:t>
      </w:r>
      <w:r>
        <w:rPr>
          <w:sz w:val="27"/>
          <w:szCs w:val="27"/>
        </w:rPr>
        <w:t xml:space="preserve">в пункте 114 столбца «Реквизиты нормативных правовых актов»:</w:t>
      </w: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pStyle w:val="869"/>
        <w:ind w:firstLine="709"/>
        <w:jc w:val="both"/>
        <w:rPr>
          <w:sz w:val="27"/>
          <w:szCs w:val="27"/>
          <w:highlight w:val="none"/>
        </w:rPr>
      </w:pPr>
      <w:r>
        <w:rPr>
          <w:sz w:val="27"/>
          <w:szCs w:val="27"/>
        </w:rPr>
        <w:t xml:space="preserve">слова «</w:t>
      </w:r>
      <w:r>
        <w:rPr>
          <w:sz w:val="27"/>
          <w:szCs w:val="27"/>
        </w:rPr>
        <w:t xml:space="preserve">Порядок паспортизации и типовых форм паспортов отходов I - IV классов опасности, утвержденный приказом Минприроды России от 08.12.2020 № 1026</w:t>
      </w:r>
      <w:r>
        <w:rPr>
          <w:sz w:val="27"/>
          <w:szCs w:val="27"/>
        </w:rPr>
        <w:t xml:space="preserve">»</w:t>
      </w:r>
      <w:r>
        <w:rPr>
          <w:sz w:val="27"/>
          <w:szCs w:val="27"/>
        </w:rPr>
        <w:t xml:space="preserve"> заменить словами «Порядок </w:t>
      </w:r>
      <w:r>
        <w:rPr>
          <w:sz w:val="27"/>
          <w:szCs w:val="27"/>
        </w:rPr>
        <w:t xml:space="preserve">паспортизации отходов I - IV классов опасности, утвержденный </w:t>
      </w:r>
      <w:r>
        <w:rPr>
          <w:sz w:val="27"/>
          <w:szCs w:val="27"/>
        </w:rPr>
        <w:t xml:space="preserve">Приказом Минприроды России от 15.05.2026 № 286</w:t>
      </w:r>
      <w:r>
        <w:rPr>
          <w:sz w:val="27"/>
          <w:szCs w:val="27"/>
        </w:rPr>
        <w:t xml:space="preserve">»</w:t>
      </w:r>
      <w:r>
        <w:rPr>
          <w:sz w:val="27"/>
          <w:szCs w:val="27"/>
        </w:rPr>
        <w:t xml:space="preserve">;</w:t>
      </w:r>
      <w:r>
        <w:rPr>
          <w:sz w:val="27"/>
          <w:szCs w:val="27"/>
          <w:highlight w:val="none"/>
        </w:rPr>
      </w:r>
      <w:r>
        <w:rPr>
          <w:sz w:val="27"/>
          <w:szCs w:val="27"/>
          <w:highlight w:val="none"/>
        </w:rPr>
      </w:r>
    </w:p>
    <w:p>
      <w:pPr>
        <w:pStyle w:val="869"/>
        <w:ind w:firstLine="709"/>
        <w:jc w:val="both"/>
        <w:rPr>
          <w:sz w:val="27"/>
          <w:szCs w:val="27"/>
        </w:rPr>
      </w:pPr>
      <w:r>
        <w:rPr>
          <w:sz w:val="27"/>
          <w:szCs w:val="27"/>
          <w:highlight w:val="none"/>
        </w:rPr>
        <w:t xml:space="preserve">3) </w:t>
      </w:r>
      <w:r>
        <w:rPr>
          <w:sz w:val="27"/>
          <w:szCs w:val="27"/>
        </w:rPr>
        <w:t xml:space="preserve">в пункте 120 столбца «Реквизиты нормативных правовых актов»:</w:t>
      </w: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pStyle w:val="869"/>
        <w:ind w:firstLine="709"/>
        <w:jc w:val="both"/>
        <w:rPr>
          <w:sz w:val="27"/>
          <w:szCs w:val="27"/>
          <w:highlight w:val="none"/>
        </w:rPr>
      </w:pPr>
      <w:r>
        <w:rPr>
          <w:sz w:val="27"/>
          <w:szCs w:val="27"/>
        </w:rPr>
        <w:t xml:space="preserve">слова «</w:t>
      </w:r>
      <w:r>
        <w:rPr>
          <w:sz w:val="27"/>
          <w:szCs w:val="27"/>
        </w:rPr>
        <w:t xml:space="preserve">Порядок учета в области обращения с отходами, утвержденный приказом Министерства природных ресурсов и экологии Российской Федерации от 08.12.2020 </w:t>
        <w:br/>
        <w:t xml:space="preserve">№ 1028</w:t>
      </w:r>
      <w:r>
        <w:rPr>
          <w:sz w:val="27"/>
          <w:szCs w:val="27"/>
        </w:rPr>
        <w:t xml:space="preserve">»</w:t>
      </w:r>
      <w:r>
        <w:rPr>
          <w:sz w:val="27"/>
          <w:szCs w:val="27"/>
        </w:rPr>
        <w:t xml:space="preserve"> заменить словами «</w:t>
      </w:r>
      <w:r>
        <w:rPr>
          <w:sz w:val="27"/>
          <w:szCs w:val="27"/>
        </w:rPr>
        <w:t xml:space="preserve">Порядок учета в области обращения с отходами производства и потребления</w:t>
      </w:r>
      <w:r>
        <w:rPr>
          <w:sz w:val="27"/>
          <w:szCs w:val="27"/>
        </w:rPr>
        <w:t xml:space="preserve">»</w:t>
      </w:r>
      <w:r>
        <w:rPr>
          <w:sz w:val="27"/>
          <w:szCs w:val="27"/>
        </w:rPr>
        <w:t xml:space="preserve">, утвержденный </w:t>
      </w:r>
      <w:r>
        <w:rPr>
          <w:sz w:val="27"/>
          <w:szCs w:val="27"/>
        </w:rPr>
        <w:t xml:space="preserve">Приказом Минприроды России </w:t>
        <w:br/>
        <w:t xml:space="preserve">от 16.04.2026 № 227»</w:t>
      </w:r>
      <w:r>
        <w:rPr>
          <w:sz w:val="27"/>
          <w:szCs w:val="27"/>
        </w:rPr>
        <w:t xml:space="preserve">;</w:t>
      </w:r>
      <w:r>
        <w:rPr>
          <w:sz w:val="27"/>
          <w:szCs w:val="27"/>
          <w:highlight w:val="none"/>
        </w:rPr>
      </w:r>
      <w:r>
        <w:rPr>
          <w:sz w:val="27"/>
          <w:szCs w:val="27"/>
          <w:highlight w:val="none"/>
        </w:rPr>
      </w:r>
    </w:p>
    <w:p>
      <w:pPr>
        <w:ind w:firstLine="709"/>
        <w:jc w:val="both"/>
        <w:rPr>
          <w:sz w:val="27"/>
          <w:szCs w:val="27"/>
          <w:highlight w:val="none"/>
        </w:rPr>
      </w:pPr>
      <w:r>
        <w:rPr>
          <w:sz w:val="27"/>
          <w:szCs w:val="27"/>
          <w:highlight w:val="none"/>
        </w:rPr>
        <w:t xml:space="preserve">4) </w:t>
      </w:r>
      <w:r>
        <w:rPr>
          <w:sz w:val="27"/>
          <w:szCs w:val="27"/>
        </w:rPr>
        <w:t xml:space="preserve">в пункте 151 столбца «Реквизиты нормативных правовых актов»:</w:t>
      </w:r>
      <w:r>
        <w:rPr>
          <w:sz w:val="27"/>
          <w:szCs w:val="27"/>
          <w:highlight w:val="none"/>
        </w:rPr>
      </w:r>
      <w:r>
        <w:rPr>
          <w:sz w:val="27"/>
          <w:szCs w:val="27"/>
          <w:highlight w:val="none"/>
        </w:rPr>
      </w:r>
    </w:p>
    <w:p>
      <w:pPr>
        <w:ind w:firstLine="709"/>
        <w:jc w:val="both"/>
        <w:rPr>
          <w:sz w:val="27"/>
          <w:szCs w:val="27"/>
          <w:highlight w:val="none"/>
        </w:rPr>
      </w:pPr>
      <w:r>
        <w:rPr>
          <w:sz w:val="27"/>
          <w:szCs w:val="27"/>
          <w:highlight w:val="none"/>
        </w:rPr>
        <w:t xml:space="preserve">слова </w:t>
      </w:r>
      <w:r>
        <w:rPr>
          <w:sz w:val="27"/>
          <w:szCs w:val="27"/>
          <w:highlight w:val="none"/>
        </w:rPr>
        <w:t xml:space="preserve">«Приказ Росстата от 08.11.2018 № 661 «Об утверждении статистического инструментария для организации Федеральной службой по надзору в сфере природопользования федерального статистического наблюдения за охраной атмосферного воздуха» заменить словами «Приказ </w:t>
      </w:r>
      <w:r>
        <w:rPr>
          <w:sz w:val="27"/>
          <w:szCs w:val="27"/>
          <w:highlight w:val="none"/>
        </w:rPr>
        <w:t xml:space="preserve">Росстата от 02.10.2026 № 589 </w:t>
        <w:br/>
        <w:t xml:space="preserve">«Об утверждении формы федерального статистического наблюдения № 2-ТП (воздух) «Сведения об охране атмосферного воздуха» и указаний по ее заполнению».</w:t>
      </w:r>
      <w:r>
        <w:rPr>
          <w:sz w:val="27"/>
          <w:szCs w:val="27"/>
          <w:highlight w:val="none"/>
        </w:rPr>
      </w:r>
    </w:p>
    <w:p>
      <w:pPr>
        <w:ind w:firstLine="709"/>
        <w:jc w:val="both"/>
        <w:rPr>
          <w:sz w:val="27"/>
          <w:szCs w:val="27"/>
          <w:highlight w:val="none"/>
        </w:rPr>
      </w:pPr>
      <w:r>
        <w:rPr>
          <w:sz w:val="27"/>
          <w:szCs w:val="27"/>
          <w:highlight w:val="none"/>
        </w:rPr>
      </w:r>
      <w:r>
        <w:rPr>
          <w:sz w:val="27"/>
          <w:szCs w:val="27"/>
          <w:highlight w:val="none"/>
        </w:rPr>
        <w:t xml:space="preserve">2. </w:t>
      </w:r>
      <w:r>
        <w:rPr>
          <w:sz w:val="27"/>
          <w:szCs w:val="27"/>
        </w:rPr>
      </w:r>
      <w:r>
        <w:rPr>
          <w:sz w:val="27"/>
          <w:szCs w:val="27"/>
        </w:rPr>
        <w:t xml:space="preserve">Внести в раздел «</w:t>
      </w:r>
      <w:r>
        <w:rPr>
          <w:sz w:val="27"/>
          <w:szCs w:val="27"/>
        </w:rPr>
        <w:t xml:space="preserve">Список контрольных вопросов, отражающих содержание обязательных требований, ответы на которые свидетельствуют о соблюдении </w:t>
        <w:br/>
        <w:t xml:space="preserve">или несоблюдении контролируемым лицом обязательных требований</w:t>
      </w:r>
      <w:r>
        <w:rPr>
          <w:sz w:val="27"/>
          <w:szCs w:val="27"/>
        </w:rPr>
        <w:t xml:space="preserve">» приложения </w:t>
        <w:br/>
        <w:t xml:space="preserve">№ 2 к приказу </w:t>
      </w:r>
      <w:r>
        <w:rPr>
          <w:sz w:val="27"/>
          <w:szCs w:val="27"/>
        </w:rPr>
        <w:t xml:space="preserve">от 01.03.2022 № 1.3-01-3 следующие изменения:</w:t>
      </w:r>
      <w:r>
        <w:rPr>
          <w:sz w:val="27"/>
          <w:szCs w:val="27"/>
          <w:highlight w:val="none"/>
        </w:rPr>
      </w:r>
      <w:r>
        <w:rPr>
          <w:sz w:val="27"/>
          <w:szCs w:val="27"/>
          <w:highlight w:val="none"/>
        </w:rPr>
      </w:r>
    </w:p>
    <w:p>
      <w:pPr>
        <w:ind w:firstLine="709"/>
        <w:jc w:val="both"/>
        <w:rPr>
          <w:sz w:val="27"/>
          <w:szCs w:val="27"/>
          <w:highlight w:val="none"/>
        </w:rPr>
      </w:pPr>
      <w:r>
        <w:rPr>
          <w:sz w:val="27"/>
          <w:szCs w:val="27"/>
          <w:highlight w:val="none"/>
        </w:rPr>
        <w:t xml:space="preserve">1) </w:t>
      </w:r>
      <w:r>
        <w:rPr>
          <w:sz w:val="27"/>
          <w:szCs w:val="27"/>
        </w:rPr>
        <w:t xml:space="preserve">в пункте 5 столбца «Реквизиты нормативных правовых актов»:</w:t>
      </w:r>
      <w:r/>
      <w:r>
        <w:rPr>
          <w:sz w:val="27"/>
          <w:szCs w:val="27"/>
          <w:highlight w:val="none"/>
        </w:rPr>
      </w:r>
    </w:p>
    <w:p>
      <w:pPr>
        <w:ind w:firstLine="709"/>
        <w:jc w:val="both"/>
      </w:pPr>
      <w:r>
        <w:rPr>
          <w:sz w:val="27"/>
          <w:szCs w:val="27"/>
          <w:highlight w:val="none"/>
        </w:rPr>
        <w:t xml:space="preserve">слова </w:t>
      </w:r>
      <w:r>
        <w:rPr>
          <w:sz w:val="27"/>
          <w:szCs w:val="27"/>
          <w:highlight w:val="none"/>
        </w:rPr>
        <w:t xml:space="preserve">«</w:t>
      </w:r>
      <w:r>
        <w:rPr>
          <w:sz w:val="27"/>
          <w:szCs w:val="27"/>
          <w:highlight w:val="none"/>
        </w:rPr>
        <w:t xml:space="preserve">Приказ Минприроды России от 01.12.2020 № 996 «Об утверждении Положения о порядке осуществления добычи подземных вод для собственных производственных и технологических нужд пользователями недр, осуществляющими разведку и добычу полезных ископаемых или по сов</w:t>
      </w:r>
      <w:r>
        <w:rPr>
          <w:sz w:val="27"/>
          <w:szCs w:val="27"/>
          <w:highlight w:val="none"/>
        </w:rPr>
        <w:t xml:space="preserve">мещенной лицензии геологическое изучение, разведку и добычу полезных ископаемых, разработку технологий геологического изучения, разведки и добычи трудноизвлекаемых полезных ископаемых или по совмещенной лицензии разработку технологий геологического изучения</w:t>
      </w:r>
      <w:r>
        <w:rPr>
          <w:sz w:val="27"/>
          <w:szCs w:val="27"/>
          <w:highlight w:val="none"/>
        </w:rPr>
        <w:t xml:space="preserve">, разведки и добычи трудноизвлекаемых полезных ископаемых, разведку </w:t>
        <w:br/>
        <w:t xml:space="preserve">и добычу таких полезных ископаемых в границах предоставленных им участков недр на основании утвержденного технического проекта</w:t>
      </w:r>
      <w:r>
        <w:rPr>
          <w:sz w:val="27"/>
          <w:szCs w:val="27"/>
          <w:highlight w:val="none"/>
        </w:rPr>
        <w:t xml:space="preserve">» </w:t>
      </w:r>
      <w:r>
        <w:rPr>
          <w:sz w:val="27"/>
          <w:szCs w:val="27"/>
          <w:highlight w:val="none"/>
        </w:rPr>
      </w:r>
      <w:r>
        <w:rPr>
          <w:sz w:val="27"/>
          <w:szCs w:val="27"/>
          <w:highlight w:val="none"/>
        </w:rPr>
        <w:t xml:space="preserve">заменить словами «Приказ </w:t>
      </w:r>
      <w:r>
        <w:rPr>
          <w:sz w:val="27"/>
          <w:szCs w:val="27"/>
          <w:highlight w:val="none"/>
        </w:rPr>
      </w:r>
      <w:r>
        <w:rPr>
          <w:sz w:val="27"/>
          <w:szCs w:val="27"/>
          <w:highlight w:val="none"/>
        </w:rPr>
      </w:r>
      <w:r>
        <w:rPr>
          <w:sz w:val="27"/>
          <w:szCs w:val="27"/>
          <w:highlight w:val="none"/>
        </w:rPr>
        <w:t xml:space="preserve">Минприроды России и Роснедр </w:t>
      </w:r>
      <w:r>
        <w:rPr>
          <w:sz w:val="27"/>
          <w:szCs w:val="27"/>
          <w:highlight w:val="none"/>
        </w:rPr>
        <w:t xml:space="preserve">от 14.04.2026 № 219/05</w:t>
      </w:r>
      <w:r>
        <w:rPr>
          <w:sz w:val="27"/>
          <w:szCs w:val="27"/>
          <w:highlight w:val="none"/>
        </w:rPr>
        <w:t xml:space="preserve"> «Об утверждении порядка осуществления добычи подземных вод для собственных производственных </w:t>
        <w:br/>
        <w:t xml:space="preserve">и технологических нужд пользователями недр, осуществляющими разведку и добычу полезных ископаемых или по с</w:t>
      </w:r>
      <w:r>
        <w:rPr>
          <w:sz w:val="27"/>
          <w:szCs w:val="27"/>
          <w:highlight w:val="none"/>
        </w:rPr>
        <w:t xml:space="preserve">овмещенной лицензии геологическое изучение, разведку и добычу полезных ископаемых, разработку технологий геологического изучения, разведки и добычи трудноизвлекаемых полезных ископаемых или по совмещенной лицензии разработку технологий геологического изучен</w:t>
      </w:r>
      <w:r>
        <w:rPr>
          <w:sz w:val="27"/>
          <w:szCs w:val="27"/>
          <w:highlight w:val="none"/>
        </w:rPr>
        <w:t xml:space="preserve">ия, разведки и добычи трудноизвлекаемых полезных ископаемых, разведку и добычу таких полезных ископаемых, в границах предоставленных им участков недр на основании утвержденного технического проекта</w:t>
      </w:r>
      <w:r>
        <w:rPr>
          <w:sz w:val="27"/>
          <w:szCs w:val="27"/>
          <w:highlight w:val="none"/>
        </w:rPr>
        <w:t xml:space="preserve">».</w:t>
      </w:r>
      <w:r>
        <w:rPr>
          <w:sz w:val="27"/>
          <w:szCs w:val="27"/>
          <w:highlight w:val="none"/>
        </w:rPr>
      </w:r>
      <w:r/>
      <w:r>
        <w:rPr>
          <w:sz w:val="27"/>
          <w:szCs w:val="27"/>
          <w:highlight w:val="none"/>
        </w:rPr>
      </w:r>
    </w:p>
    <w:p>
      <w:pPr>
        <w:pStyle w:val="869"/>
        <w:ind w:firstLine="708"/>
        <w:jc w:val="both"/>
        <w:tabs>
          <w:tab w:val="left" w:pos="993" w:leader="none"/>
        </w:tabs>
        <w:rPr>
          <w:sz w:val="27"/>
          <w:szCs w:val="27"/>
        </w:rPr>
      </w:pPr>
      <w:r>
        <w:rPr>
          <w:sz w:val="27"/>
          <w:szCs w:val="27"/>
        </w:rPr>
        <w:t xml:space="preserve">3. </w:t>
      </w:r>
      <w:r>
        <w:rPr>
          <w:sz w:val="27"/>
          <w:szCs w:val="27"/>
        </w:rPr>
        <w:t xml:space="preserve">Контроль за исполнением настоящего приказа оставляю за собой.</w:t>
      </w: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pStyle w:val="869"/>
        <w:rPr>
          <w:sz w:val="27"/>
          <w:szCs w:val="27"/>
        </w:rPr>
      </w:pPr>
      <w:r>
        <w:rPr>
          <w:sz w:val="27"/>
          <w:szCs w:val="27"/>
        </w:rPr>
      </w: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pStyle w:val="869"/>
        <w:rPr>
          <w:sz w:val="27"/>
          <w:szCs w:val="27"/>
        </w:rPr>
      </w:pPr>
      <w:r>
        <w:rPr>
          <w:sz w:val="27"/>
          <w:szCs w:val="27"/>
        </w:rPr>
      </w: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rPr>
          <w:sz w:val="27"/>
          <w:szCs w:val="27"/>
        </w:rPr>
      </w:pPr>
      <w:r>
        <w:rPr>
          <w:sz w:val="27"/>
          <w:szCs w:val="27"/>
        </w:rPr>
        <w:t xml:space="preserve">Председатель</w:t>
      </w:r>
      <w:r>
        <w:rPr>
          <w:sz w:val="27"/>
          <w:szCs w:val="27"/>
        </w:rPr>
        <w:t xml:space="preserve"> К</w:t>
      </w:r>
      <w:r>
        <w:rPr>
          <w:sz w:val="27"/>
          <w:szCs w:val="27"/>
        </w:rPr>
        <w:t xml:space="preserve">омитета </w:t>
      </w:r>
      <w:r>
        <w:rPr>
          <w:sz w:val="27"/>
          <w:szCs w:val="27"/>
        </w:rPr>
      </w:r>
      <w:r>
        <w:rPr>
          <w:sz w:val="27"/>
          <w:szCs w:val="27"/>
        </w:rPr>
        <w:t xml:space="preserve">государственного </w:t>
      </w:r>
      <w:r>
        <w:rPr>
          <w:sz w:val="27"/>
          <w:szCs w:val="27"/>
        </w:rPr>
      </w:r>
    </w:p>
    <w:p>
      <w:pPr>
        <w:rPr>
          <w:sz w:val="27"/>
          <w:szCs w:val="27"/>
        </w:rPr>
      </w:pPr>
      <w:r>
        <w:rPr>
          <w:sz w:val="27"/>
          <w:szCs w:val="27"/>
        </w:rPr>
      </w:r>
      <w:r>
        <w:rPr>
          <w:sz w:val="27"/>
          <w:szCs w:val="27"/>
        </w:rPr>
        <w:t xml:space="preserve">экологического надзора </w:t>
      </w:r>
      <w:r>
        <w:rPr>
          <w:sz w:val="27"/>
          <w:szCs w:val="27"/>
        </w:rPr>
      </w:r>
      <w:r/>
    </w:p>
    <w:p>
      <w:pPr>
        <w:rPr>
          <w:sz w:val="27"/>
          <w:szCs w:val="27"/>
        </w:rPr>
      </w:pPr>
      <w:r>
        <w:rPr>
          <w:sz w:val="27"/>
          <w:szCs w:val="27"/>
        </w:rPr>
        <w:t xml:space="preserve">Ленинградской области                                                  </w:t>
      </w:r>
      <w:r>
        <w:rPr>
          <w:sz w:val="27"/>
          <w:szCs w:val="27"/>
        </w:rPr>
        <w:t xml:space="preserve">         </w:t>
      </w:r>
      <w:r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        </w:t>
      </w:r>
      <w:r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           </w:t>
      </w:r>
      <w:r>
        <w:rPr>
          <w:sz w:val="27"/>
          <w:szCs w:val="27"/>
        </w:rPr>
        <w:t xml:space="preserve">  </w:t>
      </w:r>
      <w:r>
        <w:rPr>
          <w:sz w:val="27"/>
          <w:szCs w:val="27"/>
        </w:rPr>
        <w:t xml:space="preserve">    </w:t>
      </w:r>
      <w:r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   </w:t>
      </w:r>
      <w:r>
        <w:rPr>
          <w:sz w:val="27"/>
          <w:szCs w:val="27"/>
        </w:rPr>
        <w:t xml:space="preserve">Р.Э. Агаева</w:t>
      </w:r>
      <w:r/>
      <w:r/>
    </w:p>
    <w:sectPr>
      <w:footnotePr/>
      <w:endnotePr/>
      <w:type w:val="nextPage"/>
      <w:pgSz w:w="11907" w:h="16840" w:orient="portrait"/>
      <w:pgMar w:top="1134" w:right="567" w:bottom="568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Symbol">
    <w:panose1 w:val="05010000000000000000"/>
  </w:font>
  <w:font w:name="Cambria">
    <w:panose1 w:val="02040803050406030204"/>
  </w:font>
  <w:font w:name="Georgia">
    <w:panose1 w:val="02040502050405020303"/>
  </w:font>
  <w:font w:name="Calibri">
    <w:panose1 w:val="020F0502020204030204"/>
  </w:font>
  <w:font w:name="Tahoma">
    <w:panose1 w:val="020B0604030504040204"/>
  </w:font>
  <w:font w:name="Courier New">
    <w:panose1 w:val="02070309020205020404"/>
  </w:font>
  <w:font w:name="Wingdings">
    <w:panose1 w:val="05010000000000000000"/>
  </w:font>
  <w:font w:name="Liberation Sans">
    <w:panose1 w:val="020B060402020202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  <w:sz w:val="20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819" w:hanging="111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335" w:hanging="360"/>
        <w:tabs>
          <w:tab w:val="num" w:pos="1335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55" w:hanging="360"/>
        <w:tabs>
          <w:tab w:val="num" w:pos="2055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75" w:hanging="360"/>
        <w:tabs>
          <w:tab w:val="num" w:pos="2775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95" w:hanging="360"/>
        <w:tabs>
          <w:tab w:val="num" w:pos="3495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15" w:hanging="360"/>
        <w:tabs>
          <w:tab w:val="num" w:pos="4215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935" w:hanging="360"/>
        <w:tabs>
          <w:tab w:val="num" w:pos="4935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55" w:hanging="360"/>
        <w:tabs>
          <w:tab w:val="num" w:pos="5655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75" w:hanging="360"/>
        <w:tabs>
          <w:tab w:val="num" w:pos="6375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95" w:hanging="360"/>
        <w:tabs>
          <w:tab w:val="num" w:pos="7095" w:leader="none"/>
        </w:tabs>
      </w:pPr>
      <w:rPr>
        <w:rFonts w:ascii="Wingdings" w:hAnsi="Wingdings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440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80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520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88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60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320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680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400" w:hanging="216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</w:r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699" w:hanging="990"/>
      </w:pPr>
      <w:rPr>
        <w:rFonts w:ascii="Times New Roman" w:hAnsi="Times New Roman" w:eastAsia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260" w:hanging="360"/>
        <w:tabs>
          <w:tab w:val="num" w:pos="1260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980" w:hanging="360"/>
        <w:tabs>
          <w:tab w:val="num" w:pos="198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00" w:hanging="360"/>
        <w:tabs>
          <w:tab w:val="num" w:pos="270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20" w:hanging="360"/>
        <w:tabs>
          <w:tab w:val="num" w:pos="342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40" w:hanging="360"/>
        <w:tabs>
          <w:tab w:val="num" w:pos="414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60" w:hanging="360"/>
        <w:tabs>
          <w:tab w:val="num" w:pos="486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580" w:hanging="360"/>
        <w:tabs>
          <w:tab w:val="num" w:pos="558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00" w:hanging="360"/>
        <w:tabs>
          <w:tab w:val="num" w:pos="630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20" w:hanging="360"/>
        <w:tabs>
          <w:tab w:val="num" w:pos="7020" w:leader="none"/>
        </w:tabs>
      </w:pPr>
      <w:rPr>
        <w:rFonts w:ascii="Wingdings" w:hAnsi="Wingdings"/>
      </w:r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535" w:hanging="825"/>
      </w:pPr>
      <w:rPr>
        <w:rFonts w:ascii="Times New Roman" w:hAnsi="Times New Roman" w:eastAsia="Calibri" w:cs="Times New Roman"/>
        <w:sz w:val="28"/>
        <w:szCs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763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483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03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23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43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63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083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03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num w:numId="1">
    <w:abstractNumId w:val="9"/>
  </w:num>
  <w:num w:numId="2">
    <w:abstractNumId w:val="14"/>
  </w:num>
  <w:num w:numId="3">
    <w:abstractNumId w:val="6"/>
  </w:num>
  <w:num w:numId="4">
    <w:abstractNumId w:val="1"/>
  </w:num>
  <w:num w:numId="5">
    <w:abstractNumId w:val="4"/>
  </w:num>
  <w:num w:numId="6">
    <w:abstractNumId w:val="2"/>
  </w:num>
  <w:num w:numId="7">
    <w:abstractNumId w:val="5"/>
  </w:num>
  <w:num w:numId="8">
    <w:abstractNumId w:val="10"/>
  </w:num>
  <w:num w:numId="9">
    <w:abstractNumId w:val="15"/>
  </w:num>
  <w:num w:numId="10">
    <w:abstractNumId w:val="13"/>
  </w:num>
  <w:num w:numId="11">
    <w:abstractNumId w:val="7"/>
  </w:num>
  <w:num w:numId="12">
    <w:abstractNumId w:val="3"/>
  </w:num>
  <w:num w:numId="13">
    <w:abstractNumId w:val="8"/>
  </w:num>
  <w:num w:numId="14">
    <w:abstractNumId w:val="16"/>
  </w:num>
  <w:num w:numId="15">
    <w:abstractNumId w:val="11"/>
  </w:num>
  <w:num w:numId="16">
    <w:abstractNumId w:val="17"/>
  </w:num>
  <w:num w:numId="17">
    <w:abstractNumId w:val="0"/>
  </w:num>
  <w:num w:numId="18">
    <w:abstractNumId w:val="12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91">
    <w:name w:val="Heading 1"/>
    <w:basedOn w:val="869"/>
    <w:next w:val="869"/>
    <w:link w:val="692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692">
    <w:name w:val="Heading 1 Char"/>
    <w:link w:val="691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693">
    <w:name w:val="Heading 2"/>
    <w:basedOn w:val="869"/>
    <w:next w:val="869"/>
    <w:link w:val="694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694">
    <w:name w:val="Heading 2 Char"/>
    <w:link w:val="693"/>
    <w:uiPriority w:val="9"/>
    <w:rPr>
      <w:rFonts w:ascii="Liberation Sans" w:hAnsi="Liberation Sans" w:eastAsia="Liberation Sans" w:cs="Liberation Sans"/>
      <w:sz w:val="34"/>
    </w:rPr>
  </w:style>
  <w:style w:type="paragraph" w:styleId="695">
    <w:name w:val="Heading 3"/>
    <w:basedOn w:val="869"/>
    <w:next w:val="869"/>
    <w:link w:val="696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696">
    <w:name w:val="Heading 3 Char"/>
    <w:link w:val="695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697">
    <w:name w:val="Heading 4"/>
    <w:basedOn w:val="869"/>
    <w:next w:val="869"/>
    <w:link w:val="698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98">
    <w:name w:val="Heading 4 Char"/>
    <w:link w:val="697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699">
    <w:name w:val="Heading 5"/>
    <w:basedOn w:val="869"/>
    <w:next w:val="869"/>
    <w:link w:val="700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700">
    <w:name w:val="Heading 5 Char"/>
    <w:link w:val="699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701">
    <w:name w:val="Heading 6"/>
    <w:basedOn w:val="869"/>
    <w:next w:val="869"/>
    <w:link w:val="702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702">
    <w:name w:val="Heading 6 Char"/>
    <w:link w:val="701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703">
    <w:name w:val="Heading 7"/>
    <w:basedOn w:val="869"/>
    <w:next w:val="869"/>
    <w:link w:val="704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04">
    <w:name w:val="Heading 7 Char"/>
    <w:link w:val="703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705">
    <w:name w:val="Heading 8"/>
    <w:basedOn w:val="869"/>
    <w:next w:val="869"/>
    <w:link w:val="706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06">
    <w:name w:val="Heading 8 Char"/>
    <w:link w:val="705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707">
    <w:name w:val="Heading 9"/>
    <w:basedOn w:val="869"/>
    <w:next w:val="869"/>
    <w:link w:val="708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08">
    <w:name w:val="Heading 9 Char"/>
    <w:link w:val="707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709">
    <w:name w:val="List Paragraph"/>
    <w:basedOn w:val="869"/>
    <w:uiPriority w:val="34"/>
    <w:qFormat/>
    <w:pPr>
      <w:contextualSpacing/>
      <w:ind w:left="720"/>
    </w:pPr>
  </w:style>
  <w:style w:type="paragraph" w:styleId="710">
    <w:name w:val="No Spacing"/>
    <w:uiPriority w:val="1"/>
    <w:qFormat/>
    <w:pPr>
      <w:spacing w:before="0" w:after="0" w:line="240" w:lineRule="auto"/>
    </w:pPr>
  </w:style>
  <w:style w:type="paragraph" w:styleId="711">
    <w:name w:val="Title"/>
    <w:basedOn w:val="869"/>
    <w:next w:val="869"/>
    <w:link w:val="712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12">
    <w:name w:val="Title Char"/>
    <w:link w:val="711"/>
    <w:uiPriority w:val="10"/>
    <w:rPr>
      <w:sz w:val="48"/>
      <w:szCs w:val="48"/>
    </w:rPr>
  </w:style>
  <w:style w:type="paragraph" w:styleId="713">
    <w:name w:val="Subtitle"/>
    <w:basedOn w:val="869"/>
    <w:next w:val="869"/>
    <w:link w:val="714"/>
    <w:uiPriority w:val="11"/>
    <w:qFormat/>
    <w:pPr>
      <w:spacing w:before="200" w:after="200"/>
    </w:pPr>
    <w:rPr>
      <w:sz w:val="24"/>
      <w:szCs w:val="24"/>
    </w:rPr>
  </w:style>
  <w:style w:type="character" w:styleId="714">
    <w:name w:val="Subtitle Char"/>
    <w:link w:val="713"/>
    <w:uiPriority w:val="11"/>
    <w:rPr>
      <w:sz w:val="24"/>
      <w:szCs w:val="24"/>
    </w:rPr>
  </w:style>
  <w:style w:type="paragraph" w:styleId="715">
    <w:name w:val="Quote"/>
    <w:basedOn w:val="869"/>
    <w:next w:val="869"/>
    <w:link w:val="716"/>
    <w:uiPriority w:val="29"/>
    <w:qFormat/>
    <w:pPr>
      <w:ind w:left="720" w:right="720"/>
    </w:pPr>
    <w:rPr>
      <w:i/>
    </w:rPr>
  </w:style>
  <w:style w:type="character" w:styleId="716">
    <w:name w:val="Quote Char"/>
    <w:link w:val="715"/>
    <w:uiPriority w:val="29"/>
    <w:rPr>
      <w:i/>
    </w:rPr>
  </w:style>
  <w:style w:type="paragraph" w:styleId="717">
    <w:name w:val="Intense Quote"/>
    <w:basedOn w:val="869"/>
    <w:next w:val="869"/>
    <w:link w:val="718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8">
    <w:name w:val="Intense Quote Char"/>
    <w:link w:val="717"/>
    <w:uiPriority w:val="30"/>
    <w:rPr>
      <w:i/>
    </w:rPr>
  </w:style>
  <w:style w:type="paragraph" w:styleId="719">
    <w:name w:val="Header"/>
    <w:basedOn w:val="869"/>
    <w:link w:val="72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0">
    <w:name w:val="Header Char"/>
    <w:link w:val="719"/>
    <w:uiPriority w:val="99"/>
  </w:style>
  <w:style w:type="paragraph" w:styleId="721">
    <w:name w:val="Footer"/>
    <w:basedOn w:val="869"/>
    <w:link w:val="72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2">
    <w:name w:val="Footer Char"/>
    <w:link w:val="721"/>
    <w:uiPriority w:val="99"/>
  </w:style>
  <w:style w:type="paragraph" w:styleId="723">
    <w:name w:val="Caption"/>
    <w:basedOn w:val="869"/>
    <w:next w:val="869"/>
    <w:link w:val="72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24">
    <w:name w:val="Caption Char"/>
    <w:link w:val="723"/>
    <w:uiPriority w:val="35"/>
    <w:rPr>
      <w:b/>
      <w:bCs/>
      <w:color w:val="4f81bd" w:themeColor="accent1"/>
      <w:sz w:val="18"/>
      <w:szCs w:val="18"/>
    </w:rPr>
  </w:style>
  <w:style w:type="table" w:styleId="725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6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7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28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29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0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2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4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5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6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7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8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9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60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61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62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63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64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65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66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67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68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69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70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71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72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73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74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9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90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91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92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3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4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5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10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11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12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13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14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15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16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7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8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9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20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21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22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3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824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825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826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827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828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829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830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1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2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3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4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5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6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7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8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9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40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41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42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43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44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5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6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7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8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9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50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51">
    <w:name w:val="Hyperlink"/>
    <w:uiPriority w:val="99"/>
    <w:unhideWhenUsed/>
    <w:rPr>
      <w:color w:val="0000ff" w:themeColor="hyperlink"/>
      <w:u w:val="single"/>
    </w:rPr>
  </w:style>
  <w:style w:type="paragraph" w:styleId="852">
    <w:name w:val="footnote text"/>
    <w:basedOn w:val="869"/>
    <w:link w:val="853"/>
    <w:uiPriority w:val="99"/>
    <w:semiHidden/>
    <w:unhideWhenUsed/>
    <w:pPr>
      <w:spacing w:after="40" w:line="240" w:lineRule="auto"/>
    </w:pPr>
    <w:rPr>
      <w:sz w:val="18"/>
    </w:rPr>
  </w:style>
  <w:style w:type="character" w:styleId="853">
    <w:name w:val="Footnote Text Char"/>
    <w:link w:val="852"/>
    <w:uiPriority w:val="99"/>
    <w:rPr>
      <w:sz w:val="18"/>
    </w:rPr>
  </w:style>
  <w:style w:type="character" w:styleId="854">
    <w:name w:val="footnote reference"/>
    <w:uiPriority w:val="99"/>
    <w:unhideWhenUsed/>
    <w:rPr>
      <w:vertAlign w:val="superscript"/>
    </w:rPr>
  </w:style>
  <w:style w:type="paragraph" w:styleId="855">
    <w:name w:val="endnote text"/>
    <w:basedOn w:val="869"/>
    <w:link w:val="856"/>
    <w:uiPriority w:val="99"/>
    <w:semiHidden/>
    <w:unhideWhenUsed/>
    <w:pPr>
      <w:spacing w:after="0" w:line="240" w:lineRule="auto"/>
    </w:pPr>
    <w:rPr>
      <w:sz w:val="20"/>
    </w:rPr>
  </w:style>
  <w:style w:type="character" w:styleId="856">
    <w:name w:val="Endnote Text Char"/>
    <w:link w:val="855"/>
    <w:uiPriority w:val="99"/>
    <w:rPr>
      <w:sz w:val="20"/>
    </w:rPr>
  </w:style>
  <w:style w:type="character" w:styleId="857">
    <w:name w:val="endnote reference"/>
    <w:uiPriority w:val="99"/>
    <w:semiHidden/>
    <w:unhideWhenUsed/>
    <w:rPr>
      <w:vertAlign w:val="superscript"/>
    </w:rPr>
  </w:style>
  <w:style w:type="paragraph" w:styleId="858">
    <w:name w:val="toc 1"/>
    <w:basedOn w:val="869"/>
    <w:next w:val="869"/>
    <w:uiPriority w:val="39"/>
    <w:unhideWhenUsed/>
    <w:pPr>
      <w:ind w:left="0" w:right="0" w:firstLine="0"/>
      <w:spacing w:after="57"/>
    </w:pPr>
  </w:style>
  <w:style w:type="paragraph" w:styleId="859">
    <w:name w:val="toc 2"/>
    <w:basedOn w:val="869"/>
    <w:next w:val="869"/>
    <w:uiPriority w:val="39"/>
    <w:unhideWhenUsed/>
    <w:pPr>
      <w:ind w:left="283" w:right="0" w:firstLine="0"/>
      <w:spacing w:after="57"/>
    </w:pPr>
  </w:style>
  <w:style w:type="paragraph" w:styleId="860">
    <w:name w:val="toc 3"/>
    <w:basedOn w:val="869"/>
    <w:next w:val="869"/>
    <w:uiPriority w:val="39"/>
    <w:unhideWhenUsed/>
    <w:pPr>
      <w:ind w:left="567" w:right="0" w:firstLine="0"/>
      <w:spacing w:after="57"/>
    </w:pPr>
  </w:style>
  <w:style w:type="paragraph" w:styleId="861">
    <w:name w:val="toc 4"/>
    <w:basedOn w:val="869"/>
    <w:next w:val="869"/>
    <w:uiPriority w:val="39"/>
    <w:unhideWhenUsed/>
    <w:pPr>
      <w:ind w:left="850" w:right="0" w:firstLine="0"/>
      <w:spacing w:after="57"/>
    </w:pPr>
  </w:style>
  <w:style w:type="paragraph" w:styleId="862">
    <w:name w:val="toc 5"/>
    <w:basedOn w:val="869"/>
    <w:next w:val="869"/>
    <w:uiPriority w:val="39"/>
    <w:unhideWhenUsed/>
    <w:pPr>
      <w:ind w:left="1134" w:right="0" w:firstLine="0"/>
      <w:spacing w:after="57"/>
    </w:pPr>
  </w:style>
  <w:style w:type="paragraph" w:styleId="863">
    <w:name w:val="toc 6"/>
    <w:basedOn w:val="869"/>
    <w:next w:val="869"/>
    <w:uiPriority w:val="39"/>
    <w:unhideWhenUsed/>
    <w:pPr>
      <w:ind w:left="1417" w:right="0" w:firstLine="0"/>
      <w:spacing w:after="57"/>
    </w:pPr>
  </w:style>
  <w:style w:type="paragraph" w:styleId="864">
    <w:name w:val="toc 7"/>
    <w:basedOn w:val="869"/>
    <w:next w:val="869"/>
    <w:uiPriority w:val="39"/>
    <w:unhideWhenUsed/>
    <w:pPr>
      <w:ind w:left="1701" w:right="0" w:firstLine="0"/>
      <w:spacing w:after="57"/>
    </w:pPr>
  </w:style>
  <w:style w:type="paragraph" w:styleId="865">
    <w:name w:val="toc 8"/>
    <w:basedOn w:val="869"/>
    <w:next w:val="869"/>
    <w:uiPriority w:val="39"/>
    <w:unhideWhenUsed/>
    <w:pPr>
      <w:ind w:left="1984" w:right="0" w:firstLine="0"/>
      <w:spacing w:after="57"/>
    </w:pPr>
  </w:style>
  <w:style w:type="paragraph" w:styleId="866">
    <w:name w:val="toc 9"/>
    <w:basedOn w:val="869"/>
    <w:next w:val="869"/>
    <w:uiPriority w:val="39"/>
    <w:unhideWhenUsed/>
    <w:pPr>
      <w:ind w:left="2268" w:right="0" w:firstLine="0"/>
      <w:spacing w:after="57"/>
    </w:pPr>
  </w:style>
  <w:style w:type="paragraph" w:styleId="867">
    <w:name w:val="TOC Heading"/>
    <w:uiPriority w:val="39"/>
    <w:unhideWhenUsed/>
  </w:style>
  <w:style w:type="paragraph" w:styleId="868">
    <w:name w:val="table of figures"/>
    <w:basedOn w:val="869"/>
    <w:next w:val="869"/>
    <w:uiPriority w:val="99"/>
    <w:unhideWhenUsed/>
    <w:pPr>
      <w:spacing w:after="0" w:afterAutospacing="0"/>
    </w:pPr>
  </w:style>
  <w:style w:type="paragraph" w:styleId="869" w:default="1">
    <w:name w:val="Normal"/>
    <w:next w:val="869"/>
    <w:link w:val="869"/>
    <w:qFormat/>
    <w:rPr>
      <w:lang w:val="ru-RU" w:eastAsia="ru-RU" w:bidi="ar-SA"/>
    </w:rPr>
  </w:style>
  <w:style w:type="character" w:styleId="870">
    <w:name w:val="Основной шрифт абзаца"/>
    <w:next w:val="870"/>
    <w:link w:val="869"/>
    <w:uiPriority w:val="1"/>
    <w:semiHidden/>
    <w:unhideWhenUsed/>
  </w:style>
  <w:style w:type="table" w:styleId="871">
    <w:name w:val="Обычная таблица"/>
    <w:next w:val="871"/>
    <w:link w:val="869"/>
    <w:uiPriority w:val="99"/>
    <w:semiHidden/>
    <w:unhideWhenUsed/>
    <w:tblPr/>
  </w:style>
  <w:style w:type="numbering" w:styleId="872">
    <w:name w:val="Нет списка"/>
    <w:next w:val="872"/>
    <w:link w:val="869"/>
    <w:uiPriority w:val="99"/>
    <w:semiHidden/>
    <w:unhideWhenUsed/>
  </w:style>
  <w:style w:type="paragraph" w:styleId="873">
    <w:name w:val="ConsPlusNonformat"/>
    <w:next w:val="873"/>
    <w:link w:val="869"/>
    <w:pPr>
      <w:widowControl w:val="off"/>
    </w:pPr>
    <w:rPr>
      <w:rFonts w:ascii="Courier New" w:hAnsi="Courier New" w:cs="Courier New"/>
      <w:lang w:val="ru-RU" w:eastAsia="ru-RU" w:bidi="ar-SA"/>
    </w:rPr>
  </w:style>
  <w:style w:type="paragraph" w:styleId="874">
    <w:name w:val="Текст выноски"/>
    <w:basedOn w:val="869"/>
    <w:next w:val="874"/>
    <w:link w:val="869"/>
    <w:semiHidden/>
    <w:rPr>
      <w:rFonts w:ascii="Tahoma" w:hAnsi="Tahoma" w:cs="Tahoma"/>
      <w:sz w:val="16"/>
      <w:szCs w:val="16"/>
    </w:rPr>
  </w:style>
  <w:style w:type="paragraph" w:styleId="875">
    <w:name w:val="ConsPlusTitle"/>
    <w:next w:val="875"/>
    <w:link w:val="869"/>
    <w:pPr>
      <w:widowControl w:val="off"/>
    </w:pPr>
    <w:rPr>
      <w:b/>
      <w:bCs/>
      <w:sz w:val="24"/>
      <w:szCs w:val="24"/>
      <w:lang w:val="ru-RU" w:eastAsia="ru-RU" w:bidi="ar-SA"/>
    </w:rPr>
  </w:style>
  <w:style w:type="paragraph" w:styleId="876">
    <w:name w:val="Стандартный HTML"/>
    <w:basedOn w:val="869"/>
    <w:next w:val="876"/>
    <w:link w:val="884"/>
    <w:pPr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 w:cs="Courier New"/>
    </w:rPr>
  </w:style>
  <w:style w:type="paragraph" w:styleId="877">
    <w:name w:val="ConsPlusCell"/>
    <w:next w:val="877"/>
    <w:link w:val="869"/>
    <w:pPr>
      <w:widowControl w:val="off"/>
    </w:pPr>
    <w:rPr>
      <w:lang w:val="ru-RU" w:eastAsia="ru-RU" w:bidi="ar-SA"/>
    </w:rPr>
  </w:style>
  <w:style w:type="table" w:styleId="878">
    <w:name w:val="Сетка таблицы"/>
    <w:basedOn w:val="871"/>
    <w:next w:val="878"/>
    <w:link w:val="869"/>
    <w:uiPriority w:val="59"/>
    <w:tblPr/>
  </w:style>
  <w:style w:type="paragraph" w:styleId="879">
    <w:name w:val="ConsPlusNormal"/>
    <w:next w:val="879"/>
    <w:link w:val="869"/>
    <w:pPr>
      <w:widowControl w:val="off"/>
    </w:pPr>
    <w:rPr>
      <w:rFonts w:ascii="Calibri" w:hAnsi="Calibri" w:cs="Calibri"/>
      <w:sz w:val="22"/>
      <w:lang w:val="ru-RU" w:eastAsia="ru-RU" w:bidi="ar-SA"/>
    </w:rPr>
  </w:style>
  <w:style w:type="paragraph" w:styleId="880">
    <w:name w:val="Pro-List #1"/>
    <w:basedOn w:val="869"/>
    <w:next w:val="880"/>
    <w:link w:val="881"/>
    <w:qFormat/>
    <w:pPr>
      <w:ind w:left="1134" w:hanging="708"/>
      <w:jc w:val="both"/>
      <w:spacing w:before="180" w:line="288" w:lineRule="auto"/>
      <w:tabs>
        <w:tab w:val="left" w:pos="1134" w:leader="none"/>
      </w:tabs>
    </w:pPr>
    <w:rPr>
      <w:rFonts w:ascii="Georgia" w:hAnsi="Georgia"/>
      <w:szCs w:val="24"/>
    </w:rPr>
  </w:style>
  <w:style w:type="character" w:styleId="881">
    <w:name w:val="Pro-List #1 Знак Знак"/>
    <w:next w:val="881"/>
    <w:link w:val="880"/>
    <w:rPr>
      <w:rFonts w:ascii="Georgia" w:hAnsi="Georgia"/>
      <w:szCs w:val="24"/>
    </w:rPr>
  </w:style>
  <w:style w:type="paragraph" w:styleId="882">
    <w:name w:val="Pro-Gramma"/>
    <w:basedOn w:val="869"/>
    <w:next w:val="882"/>
    <w:link w:val="883"/>
    <w:qFormat/>
    <w:pPr>
      <w:ind w:left="1134"/>
      <w:jc w:val="both"/>
      <w:spacing w:before="120" w:line="288" w:lineRule="auto"/>
    </w:pPr>
    <w:rPr>
      <w:rFonts w:ascii="Georgia" w:hAnsi="Georgia"/>
      <w:szCs w:val="24"/>
    </w:rPr>
  </w:style>
  <w:style w:type="character" w:styleId="883">
    <w:name w:val="Pro-Gramma Знак"/>
    <w:next w:val="883"/>
    <w:link w:val="882"/>
    <w:rPr>
      <w:rFonts w:ascii="Georgia" w:hAnsi="Georgia"/>
      <w:szCs w:val="24"/>
    </w:rPr>
  </w:style>
  <w:style w:type="character" w:styleId="884">
    <w:name w:val="Стандартный HTML Знак"/>
    <w:next w:val="884"/>
    <w:link w:val="876"/>
    <w:rPr>
      <w:rFonts w:ascii="Courier New" w:hAnsi="Courier New" w:cs="Courier New"/>
    </w:rPr>
  </w:style>
  <w:style w:type="paragraph" w:styleId="885">
    <w:name w:val="Схема документа"/>
    <w:basedOn w:val="869"/>
    <w:next w:val="885"/>
    <w:link w:val="886"/>
    <w:uiPriority w:val="99"/>
    <w:semiHidden/>
    <w:unhideWhenUsed/>
    <w:rPr>
      <w:rFonts w:ascii="Tahoma" w:hAnsi="Tahoma" w:cs="Tahoma"/>
      <w:sz w:val="16"/>
      <w:szCs w:val="16"/>
    </w:rPr>
  </w:style>
  <w:style w:type="character" w:styleId="886">
    <w:name w:val="Схема документа Знак"/>
    <w:next w:val="886"/>
    <w:link w:val="885"/>
    <w:uiPriority w:val="99"/>
    <w:semiHidden/>
    <w:rPr>
      <w:rFonts w:ascii="Tahoma" w:hAnsi="Tahoma" w:cs="Tahoma"/>
      <w:sz w:val="16"/>
      <w:szCs w:val="16"/>
    </w:rPr>
  </w:style>
  <w:style w:type="character" w:styleId="887">
    <w:name w:val="Знак примечания"/>
    <w:next w:val="887"/>
    <w:link w:val="869"/>
    <w:uiPriority w:val="99"/>
    <w:semiHidden/>
    <w:unhideWhenUsed/>
    <w:rPr>
      <w:sz w:val="16"/>
      <w:szCs w:val="16"/>
    </w:rPr>
  </w:style>
  <w:style w:type="paragraph" w:styleId="888">
    <w:name w:val="Текст примечания"/>
    <w:basedOn w:val="869"/>
    <w:next w:val="888"/>
    <w:link w:val="889"/>
    <w:uiPriority w:val="99"/>
    <w:semiHidden/>
    <w:unhideWhenUsed/>
  </w:style>
  <w:style w:type="character" w:styleId="889">
    <w:name w:val="Текст примечания Знак"/>
    <w:basedOn w:val="870"/>
    <w:next w:val="889"/>
    <w:link w:val="888"/>
    <w:uiPriority w:val="99"/>
    <w:semiHidden/>
  </w:style>
  <w:style w:type="paragraph" w:styleId="890">
    <w:name w:val="Тема примечания"/>
    <w:basedOn w:val="888"/>
    <w:next w:val="888"/>
    <w:link w:val="891"/>
    <w:uiPriority w:val="99"/>
    <w:semiHidden/>
    <w:unhideWhenUsed/>
    <w:rPr>
      <w:b/>
      <w:bCs/>
    </w:rPr>
  </w:style>
  <w:style w:type="character" w:styleId="891">
    <w:name w:val="Тема примечания Знак"/>
    <w:next w:val="891"/>
    <w:link w:val="890"/>
    <w:uiPriority w:val="99"/>
    <w:semiHidden/>
    <w:rPr>
      <w:b/>
      <w:bCs/>
    </w:rPr>
  </w:style>
  <w:style w:type="table" w:styleId="892">
    <w:name w:val="Pro-Table"/>
    <w:basedOn w:val="871"/>
    <w:next w:val="892"/>
    <w:link w:val="869"/>
    <w:pPr>
      <w:spacing w:before="60" w:after="60"/>
    </w:pPr>
    <w:rPr>
      <w:rFonts w:ascii="Cambria" w:hAnsi="Cambria"/>
      <w:sz w:val="16"/>
    </w:rPr>
    <w:tblPr/>
  </w:style>
  <w:style w:type="paragraph" w:styleId="893">
    <w:name w:val="Абзац списка"/>
    <w:basedOn w:val="869"/>
    <w:next w:val="893"/>
    <w:link w:val="869"/>
    <w:uiPriority w:val="34"/>
    <w:qFormat/>
    <w:pPr>
      <w:contextualSpacing/>
      <w:ind w:left="720"/>
    </w:pPr>
  </w:style>
  <w:style w:type="character" w:styleId="894" w:default="1">
    <w:name w:val="Default Paragraph Font"/>
    <w:uiPriority w:val="1"/>
    <w:semiHidden/>
    <w:unhideWhenUsed/>
  </w:style>
  <w:style w:type="numbering" w:styleId="895" w:default="1">
    <w:name w:val="No List"/>
    <w:uiPriority w:val="99"/>
    <w:semiHidden/>
    <w:unhideWhenUsed/>
  </w:style>
  <w:style w:type="table" w:styleId="896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ЭИ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Работник</dc:creator>
  <cp:lastModifiedBy>av_mishneva</cp:lastModifiedBy>
  <cp:revision>17</cp:revision>
  <dcterms:created xsi:type="dcterms:W3CDTF">2026-05-12T13:29:00Z</dcterms:created>
  <dcterms:modified xsi:type="dcterms:W3CDTF">2026-10-13T06:34:34Z</dcterms:modified>
  <cp:version>1048576</cp:version>
</cp:coreProperties>
</file>