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 xml:space="preserve">Проект</w:t>
      </w:r>
      <w:r>
        <w:rPr>
          <w:rFonts w:cs="Times New Roman"/>
          <w:b/>
          <w:szCs w:val="28"/>
          <w:u w:val="single"/>
        </w:rPr>
      </w:r>
      <w:r>
        <w:rPr>
          <w:rFonts w:cs="Times New Roman"/>
          <w:b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ПРАВИТЕЛЬСТВА ЛЕНИНГРАДСКОЙ ОБЛАСТИ</w:t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№_______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 внесении изменений и дополнений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постановление </w:t>
        <w:br/>
        <w:t xml:space="preserve">Правительства Ленинградской области от 05.08.2024 № 534 </w:t>
        <w:br/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утверждении Положения о Комитете цифрового развития Ленинградской области и о признании утратившими силу полностью или частично отдельных постановлений Правительства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об утверждении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орядка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 координации мероприятий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по использованию информационно-к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оммуникационных технологий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Порядка взаимодействия органов исполнительной власти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Ленинградской области при создании, модернизаци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развитии, обеспечении функционирования 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и выводе из эксплуатации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госуд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арственных информационн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ых систем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Ленинградской области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и о признании утратившими силу</w:t>
        <w:br/>
        <w:t xml:space="preserve">отдельных постановлений Правительства 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284" w:firstLine="0"/>
        <w:jc w:val="center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left="0" w:right="284" w:firstLine="0"/>
        <w:jc w:val="center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cs="Times New Roman"/>
          <w:b/>
          <w:bCs/>
          <w:szCs w:val="28"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left="0" w:right="284" w:firstLine="0"/>
        <w:jc w:val="center"/>
        <w:rPr>
          <w:rFonts w:ascii="Times New Roman" w:hAnsi="Times New Roman" w:cs="Times New Roman"/>
          <w:b/>
          <w:bCs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b/>
          <w:bCs/>
          <w:highlight w:val="white"/>
        </w:rPr>
      </w:r>
    </w:p>
    <w:p>
      <w:pPr>
        <w:ind w:left="0" w:right="284" w:firstLine="0"/>
        <w:jc w:val="both"/>
        <w:rPr>
          <w:rFonts w:ascii="Times New Roman" w:hAnsi="Times New Roman" w:cs="Times New Roman"/>
          <w:bCs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остановляю:</w:t>
      </w:r>
      <w:r>
        <w:rPr>
          <w:rFonts w:ascii="Times New Roman" w:hAnsi="Times New Roman" w:cs="Times New Roman"/>
          <w:bCs/>
          <w:szCs w:val="28"/>
          <w:highlight w:val="white"/>
        </w:rPr>
      </w:r>
      <w:r>
        <w:rPr>
          <w:rFonts w:ascii="Times New Roman" w:hAnsi="Times New Roman" w:cs="Times New Roman"/>
          <w:bCs/>
          <w:szCs w:val="28"/>
          <w:highlight w:val="whit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Внести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Положени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 Комитете цифрового развития Ленинградской области, утвержденное постановлением Правительства Ленинградской области </w:t>
        <w:br/>
        <w:t xml:space="preserve">от 05.08.2024 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534, изменения и дополнения согласно приложению 1 </w:t>
        <w:br/>
        <w:t xml:space="preserve">к постановлению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Утвердить 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оряд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ок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 координации мероприятий 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по использованию информационно-коммуникационных технологий 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в деятельности органов исполнительной власти Ленинградской области 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согласно приложению 2 </w:t>
        <w:br/>
        <w:t xml:space="preserve">к постановлению.</w:t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Утвердить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Порядок взаимодействия органов исполнительной власти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Ленинградской области при создании, модернизаци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развитии, обеспечении функционирования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и выводе из эксплуатации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госуд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арственных информационн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ых систем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8"/>
          <w:szCs w:val="28"/>
          <w:highlight w:val="white"/>
        </w:rPr>
        <w:t xml:space="preserve">Ленинградской области </w:t>
      </w: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  <w:t xml:space="preserve">согласно приложению 3 к постановлению.</w:t>
      </w:r>
      <w:r>
        <w:rPr>
          <w:rFonts w:ascii="Times New Roman" w:hAnsi="Times New Roman" w:cs="Times New Roman" w:eastAsiaTheme="minorEastAsia"/>
          <w:sz w:val="28"/>
          <w:szCs w:val="28"/>
          <w:highlight w:val="whit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whit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eastAsia="Times New Roman" w:cs="Times New Roman"/>
          <w:color w:val="00000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 w:eastAsiaTheme="minorEastAsia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4.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Признать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утратившими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 силу постановление Правительства Ленинград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ской области от 30.12.2014 №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641 «О координации мероприятий по использованию информационно-коммуникационных технологий 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» и постановление Правительства Ленинградской области от 20.06.2019 №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287 «Об утверждении Порядка взаимодействия органов исполнительной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власти Ленинградской области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br/>
        <w:t xml:space="preserve">при создании, модернизации и </w:t>
      </w: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  <w:t xml:space="preserve">развитии государственных информационных систем Ленинградской области».</w:t>
      </w:r>
      <w:r>
        <w:rPr>
          <w:rFonts w:ascii="Times New Roman" w:hAnsi="Times New Roman" w:eastAsia="Times New Roman" w:cs="Times New Roman"/>
          <w:color w:val="00000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1"/>
          <w:sz w:val="28"/>
          <w:szCs w:val="28"/>
          <w:highlight w:val="non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eastAsia="Times New Roman" w:cs="Times New Roman"/>
          <w:color w:val="00000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1"/>
          <w:sz w:val="28"/>
          <w:szCs w:val="28"/>
          <w:highlight w:val="none"/>
        </w:rPr>
        <w:t xml:space="preserve">5.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Определить Комитет цифрового развития Ленинградской области </w:t>
        <w:br/>
        <w:t xml:space="preserve">(далее – Комитет)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уполномоченным органом по к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оординации мероприятий </w:t>
        <w:br/>
        <w:t xml:space="preserve">по использованию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информационно-коммуникационных технологий </w:t>
        <w:br/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деятельности исполнительных органов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по созданию, модернизации, развитию, обеспечению функционирования, вводу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и выводу из эксплуатации исполнительными органами государственных информационных систем Ленинградской области, в том числе по защите информации, содержащейся </w:t>
        <w:br/>
        <w:t xml:space="preserve">в государственных информационных системах Ленинградской области </w:t>
        <w:br/>
        <w:t xml:space="preserve">(далее - уполномоченный орган).</w:t>
      </w:r>
      <w:r>
        <w:rPr>
          <w:rFonts w:ascii="Times New Roman" w:hAnsi="Times New Roman" w:eastAsia="Times New Roman" w:cs="Times New Roman"/>
          <w:color w:val="00000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1"/>
          <w:sz w:val="28"/>
          <w:szCs w:val="28"/>
          <w:highlight w:val="white"/>
        </w:rPr>
      </w:r>
    </w:p>
    <w:p>
      <w:pPr>
        <w:pStyle w:val="970"/>
        <w:ind w:left="0" w:right="284"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6.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Настоящее постановление вступает в силу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с даты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официального опубликования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  <w:highlight w:val="whit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white"/>
        </w:rPr>
      </w:r>
    </w:p>
    <w:p>
      <w:pPr>
        <w:rPr>
          <w:rFonts w:ascii="Times New Roman" w:hAnsi="Times New Roman" w:cs="Times New Roman"/>
          <w:bCs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bCs/>
          <w:szCs w:val="28"/>
          <w:highlight w:val="white"/>
        </w:rPr>
      </w:r>
      <w:r>
        <w:rPr>
          <w:rFonts w:ascii="Times New Roman" w:hAnsi="Times New Roman" w:cs="Times New Roman"/>
          <w:bCs/>
          <w:szCs w:val="28"/>
          <w:highlight w:val="white"/>
        </w:rPr>
      </w:r>
    </w:p>
    <w:p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Губернатор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              А. Дрозденк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nil" w:color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tabs>
          <w:tab w:val="left" w:pos="9921" w:leader="none"/>
        </w:tabs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tabs>
          <w:tab w:val="left" w:pos="9921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постановлению Правительства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tabs>
          <w:tab w:val="left" w:pos="9921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tabs>
          <w:tab w:val="left" w:pos="9921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__________ № _________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0" w:right="0"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6"/>
        <w:ind w:left="0" w:right="334"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и дополнения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вносимые в постановлени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Правительства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Ленинградской области от 5 августа 20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24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года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№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534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Об утверждении Положения о Комитете цифрового развития Ленинградской области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и о признании утратившими силу полностью или частично отдельных постановлений Правительства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0" w:right="334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0" w:right="334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соответствии со статьей 40 Устава Ленинградской области Правительство Ленинградской области постановляет: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 Внести в постановление Прав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ительства Ленинградской области </w:t>
        <w:br/>
        <w:t xml:space="preserve">от 5 августа 2024 года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534 «Об утверждении Положения о Комитете цифрового развития Ленинградской области и о признании утратившими силу полностью </w:t>
        <w:br/>
        <w:t xml:space="preserve">или частично отдельных постановлений Правительства Ленинградской области»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(далее - постановление)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следующие изменения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дополнения: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 постановления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 Контроль за исполнением настоящего постановления возложить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ерв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вице-губернатор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Ленинградской области – заместител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Председателя Правительства Ленинградской области – председател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комитета финансов Ленинградской области.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Комитете цифрового развития Ленинградской области, утвержденно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постановлением (далее – Положение)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дополнить следующим пункт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2.18.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Организует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осуществл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внутренн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финансов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аудит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отношении бюджетных процедур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(или) составляющих данные процедуры операции (действий) по выполнению бюджетной процедуры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признать утрат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ившим силу пункт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2.3.4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Положение дополнить следующим пункт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«2.6.2. Осуществляет в установленном порядке содействие в разработке, внедрении и использовании технологий искусственного интеллекта на территории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подготовке кадров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сфере искусственного интеллекта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целях повышения благосостояния и каче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ства жизни граждан, достижения темпов экономического роста Ленинградской области и осуществления полномочий исполнительных органов государственной власти Ленинградской области, государственных органов Ленинградской области, органов местного самоуправления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муниципальных образований Ленинградской области.»;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2.8.1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2.8.1. Принимает участие в развитии и расширении сети почтовой связи, </w:t>
        <w:br/>
        <w:t xml:space="preserve">а также согласов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ывает режим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работы объектов почтовой связи организаций федеральной почтовой связи на территори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ополнить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пунктом 2.8.3. следующего содержания: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2.8.3. Содействует операторам почтовой связи в расширении сферы услуг, предоставляемых гражданам и юридическим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пункты 3.1.13 и 3.1.14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3.1.13. Обеспечивает создание, развитие и функционирование Ситуационного центра Губернатора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составе Регионального координационного центра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3.1.14. Осуществляет координацию и обеспечивает передачу информации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сфере социально-экономического развития, общественно-политической деятельности и региональной безопасности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 государственных информационных систем в Ситуационный центр Губернатора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составе Регионального координационного центра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3.3.5 Положения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3.3.5.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Осуществляет функции оператора региональной системы межведомственного электронного взаимодействия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уполномоченного органа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 получение сведений, содержащихся в едином федеральном информационном регистре, содержащем сведения о населении Российской Федерации, в том числе в интересах исполнительных органов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органов местного самоуправления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многофункционального центра предоставления государственных и муниципальных услуг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используемых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целях, предусмотренных Федеральным законом от 08 июня 2020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168-ФЗ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едином федеральном информационном регистре, содержащем сведения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населении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3.6.1.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3.6.1. Осуществляет оценку, при необходимости осуществляет согласование по документам по информатизации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цифровизации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 проектам государственных программ Ленинградской области, стратегий, концепций и(или) иных документов, предусматривающих долгосрочные приоритеты и(или) мероприятия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цифровизации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 проектам областных законов, нормативных правовых актов Губернатора Ленинградской области, нормативных правовых актов Правительства Ленинградской области, приказов органов исполнительной власти 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нинградской области, в которых содержатся положения, регулирующие отношения по вопросам использования, создания, развития, модернизации, эксплуатации информационных систем и информационно-телекоммуникационной инфраструктуры, цифровых технологий и сервисов.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признать утратившим силу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пункты 3.6.2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3.6.4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3.6.5, 3.6.6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Положения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3.6.5. Обеспечивает согласование описания объекта закупки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требованиям отраслевого законодательства, рекомендациям Министерства цифрового развития, связи и массовых коммуникаций Российской Федерации, стратегическим документам в сфере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цифровизации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согласно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подпункту «в» </w:t>
        <w:br/>
        <w:t xml:space="preserve">пункта 2.1.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Порядка координации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мероприятий по использованию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информационно-коммуникационных технологий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деятельности органов исполнительной власти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Ленинградской области,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утвержденного настоящим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3.6.6. Обеспечивает согласование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заявок по созданию, модернизации, развитию и обеспечению функционирования государственных информационных систем Ленинградской области в порядке, установленном Правительством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дополнить следующим пунктом: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Организует и координирует работу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Экспертн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комисси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рассмотрению заявок на создание, модернизацию и развитие государственных информационных систем Ленинградской области.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Положения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3.7.12. Участвует в обеспечении условий для недискриминационного доступа операторов связи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к объектам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общего имущества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многоквартирном доме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 целью размещения сетей связи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для оказания услуг связи по передаче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данных </w:t>
        <w:br/>
        <w:t xml:space="preserve">и предоставлению доступа к информационно-телекоммуникационной сети «Интернет».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ополнить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пунктом 3.8.3. следующего содержания: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3.8.3. Содействует операторам почтовой связи и органам местного самоуправления в развитии и расширении сети почтовой связи на территории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егиона, в том числе на удаленных территориях.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970"/>
        <w:contextualSpacing/>
        <w:ind w:left="0" w:right="0" w:firstLine="709"/>
        <w:jc w:val="both"/>
        <w:spacing w:before="220" w:line="276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пункт 3.9.2 Положения изложить в следующей редакции: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3.9.2. Организует получение данных дистанционного зондирования Земли, </w:t>
        <w:br/>
        <w:t xml:space="preserve">в том числе данных, предоставляемых 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осударственной корпорацией по космической деятельности «Роскосмос»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осуществляет их обработку.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3.15.2.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Положения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3.15.2.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рганизует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взаимодействие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ккредитованным удостоверяющим центром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 вопросам обеспечения органов исполнительной власти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орган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местного самоуправления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также подведомственны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х им учреждени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предприяти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сертификатами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ключей проверки электронных подписей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3.15.5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изложить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3.15.5. В пределах своих полномочий участвует в планировании мероприятий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подготовке к эвакуации населения, по подготовке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защите </w:t>
        <w:br/>
        <w:t xml:space="preserve">и защите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материальных и культурных ценностей, развертыванию лечебных </w:t>
        <w:br/>
        <w:t xml:space="preserve">и других учреждений, необходимых для первоочередного обес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печения пострадавшего населения.»;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ункт 4.2.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Положени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изложить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Председатель Комитета подчиняется Губернатору Ленинградской области и вице-губернатору Ленинградской области, курирующему Комитет.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4.3 Положения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признать утратившим силу;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4.5.1. Положения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4.5.1.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Обеспечивает осуществление Комитетом полномочий и функций, исполнение постановлений и распоряжений Губернатора Ленинградской области, постановлений и распоряжений Правительства Ленинградской области, указаний </w:t>
        <w:br/>
        <w:t xml:space="preserve">и поручений Губернатора Ленинградской обл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асти, а также вице-губернатора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области, курирующего Комитет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4.5.6. Положения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4.5.6. Представляет Губернатору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согласованию </w:t>
        <w:br/>
        <w:t xml:space="preserve">с вице-губернатором Ленинградской области, курирующим Комитет, предложения по внутренней структуре и штатному расписанию Комитета.»;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дополнить Положение новым пунктом 4.5.7. следующего содержания: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«4.5.7. Представляет Губернатору Ленинградской области кандидатуры заместителей председателя Комитета по согласованию с вице-губернатором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области, курирующим Комитет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пункты 4.5.7. – 4.5.19. Положения считать пунктами 4.5.8. – 4.5.20. Положения соответст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венно.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пункте 4.6.: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абзац третий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«за нарушение сроков исполнения поручений, указаний и резолюций Губернатора Ленинградской области, вице-губернатора Ленинградской области, курирующего Комитет, в том числе данных во исполнение поручений Президента Российской Федерации, поручений Председате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ля Правительства Российской Федерации;»;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дополнить абзацами следующего содержания: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«за достоверность и качество подготовленных Комитетом документов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материалов;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защиту сведений, составляющих государственную и иную охраняемую законом тайну.».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keepLines/>
        <w:keepNext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4.8 Положения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keepLines/>
        <w:keepNext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4.8. Комитет осуществляет функции и полномочия учредителя подведомственных государственных казенных учреждений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автономных некоммерческих организаций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Ленинградской области, указанных в приложении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настоящему Положению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keepLines/>
        <w:keepNext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приложение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оложению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keepLines/>
        <w:keepNext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Перечень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государственных учреждений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енинградской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  <w:br/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автономных некоммерческих организаций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подведомственных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омитету цифрового развития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1"/>
        <w:numPr>
          <w:ilvl w:val="0"/>
          <w:numId w:val="27"/>
        </w:numPr>
        <w:contextualSpacing w:val="0"/>
        <w:ind w:left="0" w:right="0" w:firstLine="709"/>
        <w:jc w:val="both"/>
        <w:keepLines/>
        <w:keepNext/>
        <w:spacing w:before="0" w:after="0" w:line="283" w:lineRule="atLeast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Государственное казенное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чреждение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Оператор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электронного правительства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1"/>
        <w:numPr>
          <w:ilvl w:val="0"/>
          <w:numId w:val="27"/>
        </w:numPr>
        <w:contextualSpacing w:val="0"/>
        <w:ind w:left="0" w:right="0" w:firstLine="709"/>
        <w:jc w:val="both"/>
        <w:keepLines/>
        <w:keepNext/>
        <w:spacing w:before="0" w:after="0" w:line="283" w:lineRule="atLeast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Автономная некоммерческая организация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«Центр цифровых компетенций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Школа 21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6"/>
          <w:highlight w:val="white"/>
        </w:rPr>
        <w:br w:type="page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709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Cs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2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постановлению Правительства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__________ № _________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0" w:right="0" w:firstLine="0"/>
        <w:jc w:val="center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Порядок координации мероприятий по использованию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информационно-коммуникационных технологий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br/>
        <w:t xml:space="preserve">в деятельности органов исполнительной власти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br/>
        <w:t xml:space="preserve">Ленинградской области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widowControl/>
        <w:rPr>
          <w:rFonts w:ascii="Times New Roman" w:hAnsi="Times New Roman" w:cs="Times New Roman"/>
          <w:b/>
          <w:bCs/>
          <w:sz w:val="29"/>
          <w:szCs w:val="29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b/>
          <w:bCs/>
          <w:sz w:val="29"/>
          <w:szCs w:val="29"/>
          <w:highlight w:val="white"/>
        </w:rPr>
      </w:r>
      <w:r>
        <w:rPr>
          <w:rFonts w:ascii="Times New Roman" w:hAnsi="Times New Roman" w:cs="Times New Roman"/>
          <w:b/>
          <w:bCs/>
          <w:sz w:val="29"/>
          <w:szCs w:val="29"/>
          <w:highlight w:val="white"/>
        </w:rPr>
      </w:r>
    </w:p>
    <w:p>
      <w:pPr>
        <w:ind w:left="0" w:right="0" w:firstLine="0"/>
        <w:jc w:val="center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1. Общие положения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1.1. Настоящий Порядок определяет цели координации мероприятий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использовани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информационно-коммуникационных технологий </w:t>
        <w:br/>
        <w:t xml:space="preserve">и информационно-телекоммуникационной инфраструктуры, осуществляемых органами исполнительной власти Ленинградской области (далее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мероприятия </w:t>
        <w:br/>
        <w:t xml:space="preserve">по информатизации, исполнительные органы), в том числе подведомственными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им учреждениями, полномочия участников координации мероприятий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инфор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матизаци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(далее - документы по информатизации)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за исключением государственных информационных систем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Исполнительным органам с учетом информации о мероприятиях </w:t>
        <w:br/>
        <w:t xml:space="preserve">по информатизации в подведомственных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им учреждениях направлять в Комитет  документы в соответствии с настоящим Порядком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Координация мероприятий по информатизации направлена </w:t>
        <w:br/>
        <w:t xml:space="preserve">на достижение следующих целей: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 обеспечение единства и комплексности при планировании и реализации мероприятий по информатизации, осуществляемых исполнительными органами;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 повышение эффективности деятельности исполнительных органов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счет использования информационных технологий;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в) обеспечение эффективного расходования средств областного бюджета Ленинградской области, направляемых на реализацию мероприятий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многократное использование информационных систем, информационно-коммуникационных технологий, информационно-телекоммуникационной инфраструктуры, создаваемых за счет средств областного бюджета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д) совместимость информационных систем, информационно-коммуникационных технологий, информационно-телекоммуникационной инфр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аструктуры, используемых в исполнительных органах.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1.4.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Определить Комитет уполномоченным органом на размещение сведений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едином реестре государственных информационных ресурсов и государственных информационных систем Ленинградской области</w:t>
      </w:r>
      <w:r>
        <w:rPr>
          <w:sz w:val="28"/>
          <w:szCs w:val="28"/>
          <w:highlight w:val="white"/>
        </w:rPr>
        <w:t xml:space="preserve"> в порядке, установленном Правительством Ленинградской области.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2. Координация в сфере планирования мероприятий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нформатизации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2.1. В целях координации мероприятий по информатизации Комитет осуществляет оценку следующих документов по информатизации исполнительных органов: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а) </w:t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проекты государственных программ, стратегий, концепций и(или) иных документов, предусматривающих долгосрочные приоритеты и(или) мероприятия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информатизации;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проекты областных законов, нормативных правовых актов Губернатора Ленинградской области, нормативных правовых актов Правительства 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нградской области, приказов исполнительных органов, в которых содержатся положения, регулирующие отношения по вопросам использования, создания, развития, модернизации, эксплуатации информационных систем </w:t>
        <w:br/>
        <w:t xml:space="preserve">и информационно-те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лекоммуникационной инфраструктуры;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в) проекты описания объектов закупок 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оваров, работ и услуг </w:t>
        <w:br/>
        <w:t xml:space="preserve">на осуществление мероприятий по информатизации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и/или объектов (элементов) информационно-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коммуникационной инфраструктуры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 технологий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(далее - 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),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риобретение оборудования и предустановленного программного обеспечения (включая все расходы, связанные с приобретением (созданием) объектов, являющихся средствами технического обеспечения, необходимого </w:t>
        <w:br/>
        <w:t xml:space="preserve">для функционирования информационных систем и объектов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(элементов) </w:t>
        <w:br/>
        <w:t xml:space="preserve">ИКТ-инфраструктуры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), в том числе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приобретение технических средств, являющихся средствами технического обеспечения, необходимого </w:t>
        <w:br/>
        <w:t xml:space="preserve">для функционирования информационных систем и объектов (элементов) </w:t>
        <w:br/>
        <w:t xml:space="preserve">ИКТ-инфраструктуры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в том числе серверного оборудования и оборудования центров обработки данн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приобретение и обновление программного обеспечения: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неисключительных прав на программное обеспечение, необходимое </w:t>
        <w:br/>
        <w:t xml:space="preserve">для обеспечения функционирования информационных систем и объектов (элементов) ИКТ-инфраструктуры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услуги связи, обеспечивающие создание, развитие и функционирование ИКТ-инфраструкт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телематические услуги связи;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услуги связи </w:t>
        <w:br/>
        <w:t xml:space="preserve">по предоставлению каналов связи;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услуги по передаче данных;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услуги местной, внутризоновой, междугородной и международной связи;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услуги телеграфной связи, за исключением услуги «телеграмма»;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услуги специальной связи, </w:t>
        <w:br/>
        <w:t xml:space="preserve">за исключением доставки специальной коррес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понденции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иные услуги связ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(далее – заявка на закупку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Перечень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расходов областного бюджета Ленинградской области, отнесенных к сфере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определяется в соответствии нормативными правовыми актами уполномоченного органа.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2.2. 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аявка на закупку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направляется исполнительными органами для оценки в Комитет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системы электронного докум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ентооборота Ленинградской области (далее – СЭД ЛО)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Исполнительный орган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создает проект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закупку </w:t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посредством СЭД ЛО, выбирая тип документа «организационно-распорядительный документ», вид документа «техническое задание» и направляет в Комитет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посредством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СЭД ЛО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включая </w:t>
        <w:br/>
        <w:t xml:space="preserve">в лист согласования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обязательном порядке Комитет.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Срок согласования Комитетом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закупку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определяется Комитетом и не может превышать 20 календарных дней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 дня поступления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закупку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согласование в Комитет.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Оценка заявки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закупку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ИКТ-инфрас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труктуры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осуществляется</w:t>
        <w:br/>
        <w:t xml:space="preserve">по следующим критериям: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 наличие целевых индикаторов 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(или) показателей в отношении мероприятий по информатизации (при наличии);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 соответствие мероприятий по инфор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матизации приоритетам и целям, определенным в прогнозах и программах социально-экономического развития Российской Федерации, Ленинградской области, отраслевых доктринах, концепциях и стратегиях, программах развития на среднесрочный и долгосрочный периоды;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в) использование исполнительным органом результатов, полученных в ходе реализации мероприятий по информатизации в предыдущие годы;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г) соответствие мероприятий по информатизации, содержащихся </w:t>
        <w:br/>
        <w:t xml:space="preserve">в документах, функциям, отнесенным к сфере деятельности исполнительного органа;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д) обоснованность привлечения средств областного бюджета Ленинградской области для реализации мероприятий 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е) соответствие объемов и качественных характеристик поставляемых товаров, выполняемых работ и оказываемых услуг, предусмотренных </w:t>
        <w:br/>
        <w:t xml:space="preserve">для реализации мероприятий по информатизации, целевым индикаторам (показателям) этих мероприятий (в случае их наличия);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ж) соответствие технических, количественных, качественных и других характеристик поставляемых товаров, выполняемых работ и оказываемых услуг, предусмотренных для реализац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ии мероприятий по информатизации, характеристикам, указанным в соответствующих международных, государственных и отраслевых стандартах в области организации процесса внедрения информационно-коммуникационных технологий в деятельность исполнительных органов;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з) соответствие мероприятий техническим условиям размещения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функционирования в центре обработки данных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подключения к единой сети передачи данных Ленинградской области;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соответствие мероприятий по информатизации, содержащихся </w:t>
        <w:br/>
        <w:t xml:space="preserve">в документах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требованиям информационной безопасности.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highlight w:val="whit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К документам по информатизации, указанным в </w:t>
      </w:r>
      <w:hyperlink w:tooltip="#p28" w:anchor="p28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подпункте 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б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»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 пункта 2.1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Порядка, прилагается пояснительная записка, содержащая обоснование необходимости правового регулирования отношений в области информатизации, являющихся предметом 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егулирования проекта правового акта, избранных методов и механизмов такого регулирования, а также технико-экономическое обоснование мероприятий по информатизации, в том числе в части финансовых потребностей на цели информатизации и источников их покрытия.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документам по информатизации, указанным в </w:t>
      </w:r>
      <w:hyperlink w:tooltip="#p27" w:anchor="p27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подпункте 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в»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 пункта 2.1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Порядка, прилагается технико-экономическое обоснование мероприятий по информатизации, содержащее: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 основание для реализации мероприятий 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 обоснование необходимости выполнения мероприятий </w:t>
        <w:br/>
        <w:t xml:space="preserve">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в) цели и задачи мероприятий 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г) ожидаемые конечные результаты мероприятий по информатизации, описание качественных и количественных характеристик планируемых результатов;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д) обоснование необходимости привлечения средств областного бюджета Ленинградской области для реализации мероприятий по информатизации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е) обоснование потребности в указанных объемах поставляемых товаров, выполняемых работ и оказываемых услуг для реализации мероприятий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информатизации, а также в их качественных характеристиках.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2.6.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Прием заявок на закупк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 ИКТ-инфраструктуры от исполнительных органов (функциональных заказчиков) осуществляется уполномоченным органом в течение календарного года, за исключением заявок на закупку </w:t>
        <w:br/>
        <w:t xml:space="preserve">ИКТ-инфраструктуры, финансовое обеспечение которых планируется в текущем финансо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вом году за счет средств, предусмотренных Комитету, как главному распорядителю бюджетных средств, которые принимаются до 1 июля текущего года.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 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3. </w:t>
      </w:r>
      <w:r>
        <w:rPr>
          <w:b/>
          <w:bCs/>
          <w:sz w:val="28"/>
          <w:szCs w:val="28"/>
          <w:lang w:val="ru-RU"/>
        </w:rPr>
        <w:t xml:space="preserve">Организация согласования документов по информатизации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3.1. При получении документов по информатизации Комитет проверяет комплектность представленных документов по информатизации.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3.2. В случае несоответствия представленных документов </w:t>
        <w:br/>
        <w:t xml:space="preserve">по информатизации требованиям, установленным </w:t>
      </w:r>
      <w:hyperlink w:tooltip="#p53" w:anchor="p53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пунктами 2.4 и 2.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настоящего Порядка,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они возвращаются в течение трех рабочих дней без рассмотрения </w:t>
        <w:br/>
        <w:t xml:space="preserve">с указанием необходимости представления недостающих документов </w:t>
        <w:br/>
        <w:t xml:space="preserve">и(или) их надлежащего оформления.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3.3. Документы по информатизации, указанные в </w:t>
      </w:r>
      <w:hyperlink w:tooltip="#p27" w:anchor="p27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подпунктах </w:t>
          <w:br/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а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</w:t>
      </w:r>
      <w:hyperlink w:tooltip="#p28" w:anchor="p28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в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»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 пункта 2.1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Порядка, после устранения выявленных недостатков повторно направляются исполнительным органом в Комитет.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3.4. Срок согласования Комитетом проектов документов по информатизации исполнительного органа, указанных в </w:t>
      </w:r>
      <w:hyperlink w:tooltip="#p26" w:anchor="p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подпунктах 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а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hyperlink w:tooltip="#p28" w:anchor="p28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«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в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»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 пункта 2.1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Порядка, определяется Комитетом и не может превышать 20 календарных дней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 дня поступления документов по информатизации на согласование в Комитет.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Срок согласования Комитетом проектов документов по информатизации исполнительного органа, указанных в подпункте «б» пункта 2.1 настоящего Порядка, определяется в соответствии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Инструкцией по делопроизводству </w:t>
        <w:br/>
        <w:t xml:space="preserve">в органах исполнительной власти Ленинградской области, утвержденной постановлением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Губернатора Ленинградской области от 13.02.2018 № 4-пг.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3.5. Комитет проводит оценку документа по информатизации </w:t>
        <w:br/>
        <w:t xml:space="preserve">и </w:t>
      </w:r>
      <w:r>
        <w:rPr>
          <w:sz w:val="28"/>
          <w:szCs w:val="28"/>
          <w:lang w:val="ru-RU"/>
        </w:rPr>
        <w:t xml:space="preserve">согласовывает документы по результатам оценки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соответствии с: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 оценкой соответствия мероприятий по информатизации, предусмотренных документом по информатизации, критериям, установленным </w:t>
      </w:r>
      <w:hyperlink w:tooltip="#p40" w:anchor="p40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пунктом 2.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 оценкой целесообразности проведения мероприятий по информатизации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точки зрения эффективности достижения целей их реализации;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в) оценкой целесообразности финансирования мероприятий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информатизации за счет средств областного бюджета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г) итоговой оценкой документа по информатизации (Согласование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  <w:br/>
        <w:t xml:space="preserve">при отсутствии замечаний посредством СЭД ЛО).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0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4. Реализация и контроль мероприятий по информатизации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4.1. Реализация мероприятий по информатизации и контроль реализации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осуществляются исполнительными органами самостоятельно.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итогам реализации мероприятий по информатизации исполнительные органы ежегодно, не позднее 1 марта года, следующего за отчетным, представляют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Комитет отчеты о закупках в сфере информационно-коммуникационных технологий по форме, утвержденной правовым актом Комитета.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Комитет вправе осуществлять методическое руководство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закупкам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в сфере информационно-коммуникационных технологий.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0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5. Полномочия участников координации мероприятий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по информатизации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5.1. В рамках осуществления координации мероприятий по информатизации участники координации реализуют следующие полномочия: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 исполнительные органы: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осуществляют разработку документ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ов по информатизации;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представляют документы по информат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изации на согласование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Комитет;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обеспечивают реализацию мероприятий по информатизации и вну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тренний контроль их реализации;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представляют в Комитет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отчеты о закупках в сфере информационно-коммуникационных технологий по форме, утвержденной правовым актом Комитета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 Комитет: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осуществляет методическое руководство разработкой отчетов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закупках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сфере информационно-коммуникационных технологий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проводит оценку документов по информатизации и подготавливает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ним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согласования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при отсутствии замечаний.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br w:type="page" w:clear="all"/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постановлению Правительства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0"/>
        <w:ind w:left="5953" w:right="284" w:firstLine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__________ № _________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орядок взаимодействия органов исполнительной власти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Ленинградской области при создании, модернизации,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развитии,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обеспечении функционирования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и выводе из эксплуатации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государственных информационных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систем Ленинградской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1. Общие положения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1.1. Настоящий Порядок устанавливает порядок взаимодействия органов исполнительной власти Ленинградской области при создании,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модернизации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развитии, обеспечении функционирования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и выводе из эксплуатации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государственных информ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ционных систем Ленинградской области </w:t>
        <w:br/>
        <w:t xml:space="preserve">(далее - информационные системы Ленинградской области), созданных за счет средств областного бюджета Ленинградской области или на которые приобретены исключительные права за счет средств областного бюджета Ленинградско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й области, а также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 устанавливает условия целевого использования средств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для финансового обеспечения мероприятий по созданию, модернизации </w:t>
        <w:br/>
        <w:t xml:space="preserve">и развитию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 информационных систем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1.2. Создание,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модернизация и развитие информационных систем Ленинградской области осуществляется в соответствии с </w:t>
      </w:r>
      <w:hyperlink r:id="rId12" w:tooltip="https://cons-kcr.lenreg.ru/cgi/online.cgi?req=doc&amp;base=LAW&amp;n=501509&amp;dst=100010&amp;field=134&amp;date=26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Требованиями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к порядку создания, ра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вития, ввода в эксплуатацию, эксплуатации и вывода из эксплуатации информационных систем и дальнейшего хранения содержащейся в их базах данных информации, утвержденными постановлением Правительства Российской Федерации от 6 июля 2015 года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676 (далее - Требования)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а также настоящим Порядком.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1.3. Права обладателя информации, содержащейся в базах данных информационных систем Ленинградской области, принадлежат Ленинградской области и подлежат охране независимо от авторских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иных прав на такие базы данных.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1.4. Правомочия обладателя информации информационной системы Ленинградской области от имени Ленинградской области осуществляются исполнительным органом, в рамках реализации полномочий которого создается </w:t>
        <w:br/>
        <w:t xml:space="preserve">и эксплуат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ируется информационная система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1.5. В настоящем Порядке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применяются следующие понятия: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оператор информационной системы Ленинградской области – исполнительный орган, государственное учреждение Ленинградской области, концессионер или частный партнер, действующие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основании соглашения </w:t>
        <w:br/>
        <w:t xml:space="preserve">о государственно-частном партнерстве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или концессионного соглашения, осуществляющие деятельность по эксплуатации информационной системы Ленинградской области, в том числе по обработке информации,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содержащейся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ее базах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данных;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функциональный заказчик – исполнительный орган, инициировавший создание, развитие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обеспечение функционирования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tabs>
          <w:tab w:val="left" w:pos="878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Иные понятия и термины, используемые в настоящем Порядке, применяются </w:t>
        <w:br/>
        <w:t xml:space="preserve">в значениях, определенных действующим законодательством.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tabs>
          <w:tab w:val="left" w:pos="10063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2. Создание информационных систем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2.1. Исполнительный орган (функциональный заказчик) формирует заявку </w:t>
        <w:br/>
        <w:t xml:space="preserve">с комплектом документов на создание информационной системы Ленинградской области (далее - заявка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):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целях обеспечения реализации полномочия соответствующег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исполнительного органа;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лучае необходимости выполнени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 требований законодательства.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Исполнительный орган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(функциональный заказчик) в целях реализации мероприятий по созданию информационной системы Ленингр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адской области создает проект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посредством СЭД ЛО, выбирая тип документа «организационно-распорядительный документ», вид документа «техническое задание» и направляет в Комитет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посредством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СЭД ЛО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включая </w:t>
        <w:br/>
        <w:t xml:space="preserve">в лист согласования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обязательном порядке Комитет.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Срок согласования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определяется Комитетом и не может превышать 20 календарных дней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 дня поступления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 согласование в Комитет.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2.2. Прием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ИС ЛО от функциональных заказчиков осуществляется уполномоченным органом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течение календарного года, </w:t>
        <w:br/>
        <w:t xml:space="preserve">за исключением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финансовое обеспечение которых планируется в текущем финансовом году, которые прини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маются до 1 июля текущего года.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ИС ЛО состоит из:</w:t>
      </w:r>
      <w:bookmarkStart w:id="0" w:name="undefined"/>
      <w:r>
        <w:rPr>
          <w:rFonts w:ascii="Times New Roman" w:hAnsi="Times New Roman" w:eastAsia="Times New Roman" w:cs="Times New Roman"/>
          <w:highlight w:val="whit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онцепции создания информационной системы Ленинградской области (далее - Концепция), разработанной на основании Требований (при со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здании информационной системы);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проекта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описания объекта закупк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 (ф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ункциональные требования (автоматизируемые функции), н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еобходимое обеспечение ресурсами </w:t>
        <w:br/>
        <w:t xml:space="preserve">ИТ-инфраструктуры Администрации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ланируемый период оказания услуг)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обоснования начальной (максимальной) цены контракта, выполненного функциональным заказчиком в соответствии с </w:t>
      </w:r>
      <w:hyperlink r:id="rId13" w:tooltip="https://cons-kcr.lenreg.ru/cgi/online.cgi?req=doc&amp;base=LAW&amp;n=153376&amp;date=26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Минэкономразвития России от 2 октября 2013 года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567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2.3. Основанием для создания информационной системы Ленинградской области является решение Правительства Ленинградской области о 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оздании информационной системы.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Функциональный заказчик в течение 10 рабочих дней с даты принятия решения Экспертной комиссией по рассмотрению заявок на создание, модернизацию и развитие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информационных систем Ленинград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ской области, определенной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пунктом 5.2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Порядка, подготавливает проект правового акта Правительства Ленинградской области о создании информационной системы Ленинградской области и осуществляет согласование указанного проекта в порядке и сроки,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предусмотренные </w:t>
      </w:r>
      <w:hyperlink r:id="rId14" w:tooltip="https://cons-kcr.lenreg.ru/cgi/online.cgi?req=doc&amp;base=SPB&amp;n=319638&amp;dst=100029&amp;field=134&amp;date=26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Инструкцией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делопроизводству в органах исполнительной власти Ленинградской области, утвержденной постановлением Губернатора Ленинградской области от 13 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евраля 2018 года № 4-пг.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2.4. Правовой акт Правительства Ленинградской области о создании информационной системы Ленинградской области должен содержать: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наименование исполнительного органа, осуществляющего правомочия обладателя информации, обрабатываемой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информационной системе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наименование оператора информационной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наимен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ование информационной системы;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назн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ачение информационной системы;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цель (цели) создания информационной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сведения о наличии (отсутствии) персональных данных в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системе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сведения об источнике финансирования работ по созданию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случае если функциональным заказчиком усматривается необходимость регламентации порядка работы в информационной системе Ленинградской области, в том числе определение порядка обеспечения доступа, пра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ового режима информации и набора программно-технических средств, правил информационного взаимодействия с иными информационными системами, порядка защиты информации, правовым актом Правительства Ленинградской области утверждается положение об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системе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2.5. Создание информационных систем осуществляется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соответствии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  <w:t xml:space="preserve">с Требованиями.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2.6. Мероприятия по осуществлению закупки на создание информационной системы Ленинградской области проводятся в соответствии с действующим законодательством в сфере закупок товаров, работ, услуг для обеспечения государственных и муниципальных нужд после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вступления в силу правового акта Правительства Ленинградской области, указанного в </w:t>
      </w:r>
      <w:hyperlink w:tooltip="#p42" w:anchor="p42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пункте 2.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3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настоящего Порядка.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2.7. В процессе выполнения работ по созданию информационных систем Ленинградской области осуществляется взаимодействие представителей функционального заказчика, государственного заказчика и исполнителя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  <w:br/>
        <w:t xml:space="preserve">по государственному контракту.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2.8. В целях участия в приемке работ по созданию информационных систем Ленинградской области функциональный заказчик направляет заказчику предложение о 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ключении в приемочную комиссию.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2.9. Основанием для ввода информационной системы Ленинградской области в эксплуатацию является правовой акт Правительства Ленинградской области о вводе в эксплуатацию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2.10. Уполномоченный орган после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ввода в эксплуатацию информационной системы Ленинградской области включает указанную систему в единый реестр государственных информационных ресурсов и государственных информационных систем Ленинградской области в порядке, установленном постановлением Прави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тельства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2.11. Наименование информационной системы 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заявке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создание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правовом акте Правительства Ленинградской области </w:t>
        <w:br/>
        <w:t xml:space="preserve">о создании информационной системы Ленинградской области и правовом акте Правительства Ленинградской области о вводе ее в эксплуатацию указывается следующим образом: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Государственная информационная система 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(приводится наименование информационной системы Ленинградской области).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3. Развитие, модернизация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информационных систем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</w:r>
    </w:p>
    <w:p>
      <w:pPr>
        <w:ind w:left="0" w:right="284"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Взаимодействие исполнительных органов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при развитии (модернизации) информационных систем Ленинградской области осуществляется согласно изложенному Порядку для создания информационных систем Ленинградской области, за исключением мероприятий по разработке Концепции в соответствии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с </w:t>
      </w:r>
      <w:hyperlink r:id="rId15" w:tooltip="https://login.consultant.ru/link/?req=doc&amp;base=SPB&amp;n=301642&amp;dst=100095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  <w:lang w:eastAsia="en-US"/>
          </w:rPr>
          <w:t xml:space="preserve">абзацем третьим пункта 2.2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 настоящего Порядка.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4.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Обеспечение функционирования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информационных систем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4.1. 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Финансовое обеспечение функционирования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информационных систем Ленинградской области осуществляется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счет средств областного бюджета Ленинградской области.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Исполнительный орган (функциональный заказчик) формирует заявку </w:t>
        <w:br/>
        <w:t xml:space="preserve">с комплектом документов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обеспечение функционирования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 (далее - заявка на сопровождение ИС ЛО)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Исполнительный орган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(функциональный заказчик) в целях реализации мероприятий по обеспечению функционирования информационной системы Ленингр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адской области, в том числе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оказанию услуг по сопровождению, консультированию и обучению пользователей, методологической поддержке, документационному обеспечению,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создает проект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на сопровождение </w:t>
        <w:br/>
        <w:t xml:space="preserve">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посредством СЭД ЛО, выбирая тип документа «организационно-распорядительный документ», вид документа «техническое задание» и направляет в Комитет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посредством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СЭД ЛО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включая в лист согласования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обязательном порядке Комитет.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Срок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согласования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на сопровождение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определяется Комитетом и не может превышать 20 календарных дней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 дня поступления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заявки на сопровождение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 согласование в Комитет.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4.3. Прием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сопровождение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функциональных заказчиков осуществляется уполномоченным органом посредством СЭД ЛО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течение календарного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но не позднее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шести месяцев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 окончани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ействующего контракта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обеспечение функционирования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информационной системы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Заявка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сопровождение ИС 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состоит из: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проекта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описания объекта закупки (включающего требования к оказанию услуг, планируемый период оказания услуг);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 w:val="0"/>
        <w:ind w:left="0" w:right="284" w:firstLine="709"/>
        <w:jc w:val="both"/>
        <w:spacing w:before="0" w:line="283" w:lineRule="atLeast"/>
        <w:widowControl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обоснования начальной (максимальной) цены контракта, выполненного функциональным заказчиком в соответствии с </w:t>
      </w:r>
      <w:hyperlink r:id="rId16" w:tooltip="https://cons-kcr.lenreg.ru/cgi/online.cgi?req=doc&amp;base=LAW&amp;n=153376&amp;date=26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Минэкономразвития России от 2 октября 2013 года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567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целях обеспечения непрерывного функционирования информационных систем Ленинградской области государственное казенное учреждение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Оператор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электронного правительства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инициирует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СЭД ЛО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направление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обеспечение функционирования информационных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  <w:br/>
        <w:t xml:space="preserve">при одновременном соблюдении следующих критериев: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обеспечение функционирования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планируется за счет средств, предусмотренных Комитету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как главному распорядителю бюджетных средств;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шесть месяцев до окончани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ействующего контракта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обеспечение функционирования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информационной системы Ленинградской области либо </w:t>
        <w:br/>
        <w:t xml:space="preserve">не позднее шести месяцев после ввода в эксплуатацию информационной системы Ленинградской области заявка от функционального заказчика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обеспечение функционирования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 поступила либо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функционального заказчика не поступили сведения об отсутствии необходимости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обеспечении функционирования </w:t>
        <w:br/>
        <w:t xml:space="preserve">или о запланированном предстоящем выводе из эксплуатации информационной системы Ленинградской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. Порядок рассмотрения заявок 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создание, модернизацию и развитие информационных систем Ленинградской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.1. Финансовое обеспечение создания, модернизации и развития информационных систем Ленинградской области осуществляется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счет средств областного бюджета Ленинградской области.</w:t>
      </w:r>
      <w:bookmarkStart w:id="0" w:name="undefined"/>
      <w:r>
        <w:rPr>
          <w:rFonts w:ascii="Times New Roman" w:hAnsi="Times New Roman" w:eastAsia="Times New Roman" w:cs="Times New Roman"/>
          <w:highlight w:val="whit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5.2. Для рассмотрения заявок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создание, модернизацию и развитие информационных систем Ленинградской области, по результатам рассмотрения которых получено согласование Комитета без замечаний (далее – заявки),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формируется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Экспертная комиссия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по рассмотрению заявок на создание, модернизацию и развитие информационных систем Ленинградской области (далее - Э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кспертная комиссия)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 со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ставе: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председателя Экспертной комиссии 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первого вице-губернатора Ленинградской области - заместителя Председателя Правительства Ленинградской области - председателя комитета финансов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заместителя председателя Экспертной комиссии - председателя Комитета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секретаря Экспертной комиссии - представителя Комитета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членов Экспертной комиссии: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первого вице-губернатора Ленинградской области, вице-губернатора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курирующего исполнительный орган, являющийся функциональн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ым заказчиком, подавшим заявку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соо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тветствии с настоящим Порядком;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двух представителей комитета 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инансов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трех представителей Комитета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представителей постоянных комиссий Законодательного собрания Ленинградской области, курирующих направле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ние, по которому подана заявка;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представителя (представителей) научных организаций, предприятий, деятельность которых связана с развитием информационно-телекоммуникацио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нной инфраструктуры;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представителя (представителей) государственного казенного учреждения Ленинградской области «Операто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 «электронного правительства».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5.3. Персональный состав и Положение об Экспертной комиссии утверждаются распоряжением уполномоченного органа на основании предложений,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полученных от органов государственной власти, должностных лиц и организаций, указанных в </w:t>
      </w:r>
      <w:hyperlink w:tooltip="#p13" w:anchor="p13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пункте 5.2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5.4. Заявки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прилагаемыми документами, по результатам рассмотрения которых получено согласование Комитета без замечаний, вносятся </w:t>
        <w:br/>
        <w:t xml:space="preserve">на рассмотрение Экспертной комисс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Уполномоченный орган организуе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 рассмотрение заявок на 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аседании Экспертной комиссии, которые проводятся по мере необходимости,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 не реже двух раз в год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Заседания Экспертной комиссии могу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 проходить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заочном формате.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5.5. Критерии оценки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утверждаются нормативным правовы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 актом уполномоченного органа.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5.6. На заседания Экспертной комиссии уполномоченным органом приглашаются члены Экспертной комиссии по курируемым сферам, по которым планируется рассмотрение заявок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Представители уполномоченного органа </w:t>
        <w:br/>
        <w:t xml:space="preserve">и комитета финансов Ленинградской области, которые являются членами Экспертной комиссии, принимают участие во всех заседаниях Экспертной 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омиссии.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5.7. Заседание Экспертной комиссии считается правомочным,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если на нем присутствует не менее половины от общего чи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сла членов Экспертной комиссии.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5.8. Экспертная комиссия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основани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критериев оценки заявок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день заседания комиссии принимает решение и в течение пяти рабочих дней оформляет его протоколом заседания Экспертной комиссии, в котором определяет перечень информационных систем Ленинградской области, рекомендуемых к созданию, модерниза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или развитию,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указанием: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 наименования информационной системы 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(а также ре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естрового номера, при наличии);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 целей выполнения работ (объект закупки согласно проекту описания объекта закупки с указанием уникал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ьных автоматизируемых функций);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 главного распорядителя бюджетных средств, которому будут предусмотрены бюджетные ассигнов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ания на реализацию мероприятия;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4) объема финансового обеспечения за счет средств областного бюджета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  <w:t xml:space="preserve">на каж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дый год реализации мероприятия.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5.9. Общий объем финансового обеспечения заявок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отобранных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для реализации в соответствующем году, не может превышать объем бюджетных ассигнований, зарезервированных в составе утвержденных областным законом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 областном бюджете Ленинградской области бюджетных ассигнований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  <w:t xml:space="preserve">для финансового обеспечения мероприятий по созданию, модернизации </w:t>
        <w:br/>
        <w:t xml:space="preserve">и развитию информационны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систем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Распределение бюджетных ассигнований, зарезервированных в составе утвержденных областным за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оном об областном бюджете Ленинградской области бюджетных ассигнований для финансового обеспечения мероприятий </w:t>
        <w:br/>
        <w:t xml:space="preserve">по созданию, модернизации и развитию информационных систем Ленинградской области, осуществляется в порядке, установленном Правит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ельством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5.10. 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еиспользованные при реализации мероприятий по информатизации средства бюджета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образовавшиеся при реализации мероприятий по созданию, модернизации и развитии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информационных систем Ленинградской области, могут быть перераспределены </w:t>
      </w:r>
      <w:r>
        <w:rPr>
          <w:sz w:val="28"/>
          <w:szCs w:val="28"/>
          <w:lang w:val="ru-RU"/>
        </w:rPr>
        <w:t xml:space="preserve">в порядке, установленном нормативным правовым актом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Правительства Ленинградской области, устанавливающим особенности (меры) исполнения бюджета в соответствующем финансовом году.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5.11.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Главному распорядителю бюджетных средств, осуществляющему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br/>
        <w:t xml:space="preserve">в соответствии с протоколом Экспертной комиссии реализацию мероприятий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br/>
        <w:t xml:space="preserve">по созданию, модернизации или развитию соответствующей информационной системы Ленинградской области, ежегодно не позднее 1 марта года, следующего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br/>
        <w:t xml:space="preserve">за отчетным, представлять в Комитет отчет о ходе реализации мероприятий </w:t>
        <w:br/>
        <w:t xml:space="preserve">по форме согласно приложению 1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к настоящему Порядку.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Комитету на основании полученных отчетов главных распорядителей бюджетных средств формировать сводный отчет, по форме согласно приложению 2 к настоящему Порядку,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и ежегодно не позднее 15 марта года, следующего </w:t>
        <w:br/>
        <w:t xml:space="preserve">за отчетн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ым, представлять сводный отчет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en-US"/>
        </w:rPr>
        <w:t xml:space="preserve">в комитет финансов Ленинградской области.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0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  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. Вы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вод из эксплуатации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en-US"/>
        </w:rPr>
        <w:t xml:space="preserve"> информационных систем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center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э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информационной системы Ленинградской области осуществляется в соответствии с </w:t>
      </w:r>
      <w:hyperlink r:id="rId17" w:tooltip="https://cons-kcr.lenreg.ru/cgi/online.cgi?req=doc&amp;base=LAW&amp;n=501509&amp;dst=100010&amp;field=134&amp;date=26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Требованиями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6.2. 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ешение Правительства Ленинградской области о выводе </w:t>
        <w:br/>
        <w:t xml:space="preserve">из эксплуатации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информационной системы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и, в том числе если информационная система Ленинградской области введена в эксплуатацию правовым актом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6.3.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Уполномоченный орган после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выв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из эксплуатации информационной системы Ленинградской области исключает указанную систему из единого реестра государственных информационных ресурсов и государственных информационных систем Ленинградской области в порядке, установленном постановлением Прави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тельства Ленинградской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0"/>
        <w:jc w:val="center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 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. Организация защиты информации, содержащейся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0"/>
        <w:jc w:val="center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в информационных системах Ленинградской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.1. Организация защиты информации, содержащейся в информационных системах Ленинградской области, осуществляется уполномоченным органом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оператором информационной системы Ленинградской области в порядке, определенном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действующим законодательством.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Обладатель информации, содержащейся в базах данных информационной системы Ленинградской области, определяет перечень информации, подлежащей защите.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.2. Упол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номоченный орган обеспечивает: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разработку требований к защите информации, содержащейся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информационной системе Ленинг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разработку системы защиты информации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внедрение системы защиты информации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аттестацию информационной системы Ленинградской области </w:t>
        <w:br/>
        <w:t xml:space="preserve">в соответствии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требованиями защиты информации;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защиту информации в ходе эксплуатации аттестованной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защиту информации при выводе из эксплуатации аттестованной информационной системы Ленинградской области или после принятия решения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окончании обработки информации.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7.3. Оператор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утверждает модель угроз безопасности информации информационной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системы Ленинградской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утверждает организационно-распорядительные документы на основе типовых документов, предоста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вленных уполномоченным органом;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поддерживает организационно-распорядительные до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кументы в актуальном состоянии;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284" w:firstLine="709"/>
        <w:jc w:val="both"/>
        <w:spacing w:line="240" w:lineRule="auto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выполняет организационные мероприятия по защите информации, сформированные для информационной системы Ленинградской области,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исключением предусмотренных </w:t>
      </w:r>
      <w:hyperlink w:tooltip="#p118" w:anchor="p118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пунктом 7.2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настоящего Порядка.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5387" w:right="706"/>
        <w:widowControl/>
        <w:tabs>
          <w:tab w:val="left" w:pos="10065" w:leader="none"/>
        </w:tabs>
        <w:rPr>
          <w:sz w:val="28"/>
          <w:szCs w:val="28"/>
          <w:highlight w:val="white"/>
        </w:rPr>
        <w:sectPr>
          <w:headerReference w:type="default" r:id="rId9"/>
          <w:footerReference w:type="default" r:id="rId10"/>
          <w:footnotePr/>
          <w:endnotePr/>
          <w:type w:val="nextPage"/>
          <w:pgSz w:w="11905" w:h="16837" w:orient="portrait"/>
          <w:pgMar w:top="1134" w:right="566" w:bottom="1134" w:left="1134" w:header="720" w:footer="720" w:gutter="0"/>
          <w:cols w:num="1" w:sep="0" w:space="60" w:equalWidth="1"/>
          <w:docGrid w:linePitch="360"/>
          <w:titlePg/>
        </w:sectPr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Приложение</w:t>
      </w:r>
      <w:r>
        <w:rPr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 xml:space="preserve">1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к </w:t>
      </w:r>
      <w:r>
        <w:rPr>
          <w:sz w:val="28"/>
          <w:szCs w:val="28"/>
          <w:highlight w:val="white"/>
          <w:lang w:eastAsia="en-US"/>
        </w:rPr>
        <w:t xml:space="preserve">Порядку, утвержденному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постановлени</w:t>
      </w:r>
      <w:r>
        <w:rPr>
          <w:sz w:val="28"/>
          <w:szCs w:val="28"/>
          <w:highlight w:val="white"/>
          <w:lang w:eastAsia="en-US"/>
        </w:rPr>
        <w:t xml:space="preserve">ем</w:t>
      </w:r>
      <w:r>
        <w:rPr>
          <w:sz w:val="28"/>
          <w:szCs w:val="28"/>
          <w:highlight w:val="white"/>
          <w:lang w:eastAsia="en-US"/>
        </w:rPr>
        <w:t xml:space="preserve"> Правительства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о</w:t>
      </w:r>
      <w:r>
        <w:rPr>
          <w:sz w:val="28"/>
          <w:szCs w:val="28"/>
          <w:highlight w:val="white"/>
          <w:lang w:eastAsia="en-US"/>
        </w:rPr>
        <w:t xml:space="preserve">т</w:t>
      </w:r>
      <w:r>
        <w:rPr>
          <w:sz w:val="28"/>
          <w:szCs w:val="28"/>
          <w:highlight w:val="white"/>
          <w:lang w:eastAsia="en-US"/>
        </w:rPr>
        <w:t xml:space="preserve"> ___________</w:t>
      </w:r>
      <w:r>
        <w:rPr>
          <w:sz w:val="28"/>
          <w:szCs w:val="28"/>
          <w:highlight w:val="white"/>
          <w:lang w:eastAsia="en-US"/>
        </w:rPr>
        <w:t xml:space="preserve"> №_________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773" w:right="-32"/>
        <w:jc w:val="center"/>
        <w:widowControl/>
        <w:tabs>
          <w:tab w:val="left" w:pos="1006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(типовая форма)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706"/>
        <w:jc w:val="center"/>
        <w:widowControl/>
        <w:rPr>
          <w:rFonts w:eastAsiaTheme="minorHAnsi"/>
          <w:b/>
          <w:bCs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</w:r>
      <w:r>
        <w:rPr>
          <w:rFonts w:eastAsiaTheme="minorHAnsi"/>
          <w:b/>
          <w:bCs/>
          <w:sz w:val="28"/>
          <w:szCs w:val="28"/>
          <w:highlight w:val="white"/>
        </w:rPr>
      </w:r>
      <w:r>
        <w:rPr>
          <w:rFonts w:eastAsiaTheme="minorHAnsi"/>
          <w:b/>
          <w:bCs/>
          <w:sz w:val="28"/>
          <w:szCs w:val="28"/>
          <w:highlight w:val="white"/>
        </w:rPr>
      </w:r>
    </w:p>
    <w:p>
      <w:pPr>
        <w:ind w:right="706"/>
        <w:jc w:val="center"/>
        <w:widowControl/>
        <w:rPr>
          <w:rFonts w:eastAsiaTheme="minorHAnsi"/>
          <w:b/>
          <w:bCs/>
          <w:sz w:val="28"/>
          <w:szCs w:val="28"/>
          <w:highlight w:val="white"/>
        </w:rPr>
      </w:pPr>
      <w:r>
        <w:rPr>
          <w:rFonts w:eastAsiaTheme="minorHAnsi"/>
          <w:b/>
          <w:highlight w:val="white"/>
          <w:lang w:eastAsia="en-US"/>
        </w:rPr>
        <w:t xml:space="preserve">ОТЧЁТ </w:t>
      </w:r>
      <w:r>
        <w:rPr>
          <w:rFonts w:eastAsiaTheme="minorHAnsi"/>
          <w:b/>
          <w:highlight w:val="white"/>
          <w:lang w:eastAsia="en-US"/>
        </w:rPr>
        <w:br/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главного распорядителя бюджетных средств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br/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о ходе реализации мероприятий по созданию, модернизации 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br/>
        <w:t xml:space="preserve">или развитию информационной системы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br/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rFonts w:eastAsiaTheme="minorHAnsi"/>
          <w:b/>
          <w:bCs/>
          <w:sz w:val="28"/>
          <w:szCs w:val="28"/>
          <w:highlight w:val="white"/>
        </w:rPr>
      </w:r>
      <w:r>
        <w:rPr>
          <w:rFonts w:eastAsiaTheme="minorHAnsi"/>
          <w:b/>
          <w:bCs/>
          <w:sz w:val="28"/>
          <w:szCs w:val="28"/>
          <w:highlight w:val="white"/>
        </w:rPr>
      </w:r>
    </w:p>
    <w:p>
      <w:pPr>
        <w:ind w:right="706"/>
        <w:jc w:val="center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right="4534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     1. Общие сведения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W w:w="14601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4601"/>
      </w:tblGrid>
      <w:tr>
        <w:tblPrEx/>
        <w:trPr/>
        <w:tc>
          <w:tcPr>
            <w:tcW w:w="14601" w:type="dxa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contextualSpacing/>
              <w:ind w:right="4534"/>
              <w:jc w:val="both"/>
              <w:spacing w:after="200" w:line="276" w:lineRule="auto"/>
              <w:widowControl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Наименование главного распорядителя: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  <w:p>
            <w:pPr>
              <w:contextualSpacing/>
              <w:ind w:left="283" w:right="4534"/>
              <w:jc w:val="both"/>
              <w:spacing w:after="200" w:line="276" w:lineRule="auto"/>
              <w:widowControl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 ___________________________________________________________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14601" w:type="dxa"/>
            <w:textDirection w:val="lrTb"/>
            <w:noWrap w:val="false"/>
          </w:tcPr>
          <w:p>
            <w:pPr>
              <w:ind w:right="4534" w:firstLine="283"/>
              <w:jc w:val="both"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2. Период отчета: </w:t>
            </w:r>
            <w:r>
              <w:rPr>
                <w:rFonts w:eastAsiaTheme="minorEastAsia"/>
                <w:sz w:val="28"/>
                <w:szCs w:val="28"/>
                <w:highlight w:val="white"/>
                <w:u w:val="none"/>
              </w:rPr>
              <w:t xml:space="preserve">с </w:t>
            </w: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__________ 20__ г. по __________ 20__</w:t>
            </w:r>
            <w:r>
              <w:rPr>
                <w:rFonts w:eastAsiaTheme="minorEastAsia"/>
                <w:sz w:val="28"/>
                <w:szCs w:val="28"/>
                <w:highlight w:val="white"/>
                <w:u w:val="none"/>
              </w:rPr>
              <w:t xml:space="preserve"> г.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14601" w:type="dxa"/>
            <w:textDirection w:val="lrTb"/>
            <w:noWrap w:val="false"/>
          </w:tcPr>
          <w:p>
            <w:pPr>
              <w:pStyle w:val="971"/>
              <w:numPr>
                <w:ilvl w:val="0"/>
                <w:numId w:val="17"/>
              </w:numPr>
              <w:ind w:right="4534"/>
              <w:jc w:val="both"/>
              <w:spacing w:after="0"/>
              <w:rPr>
                <w:rFonts w:ascii="Times New Roman" w:hAnsi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Theme="minorEastAsia"/>
                <w:sz w:val="28"/>
                <w:szCs w:val="28"/>
                <w:highlight w:val="white"/>
              </w:rPr>
              <w:t xml:space="preserve">Наименование и цель мероприятия:</w:t>
            </w:r>
            <w:r>
              <w:rPr>
                <w:rFonts w:ascii="Times New Roman" w:hAnsi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ind w:left="283" w:right="4534"/>
              <w:jc w:val="both"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______________________________________________________________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</w:tc>
      </w:tr>
    </w:tbl>
    <w:p>
      <w:pPr>
        <w:numPr>
          <w:ilvl w:val="0"/>
          <w:numId w:val="17"/>
        </w:numPr>
        <w:contextualSpacing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Исполнение бюджета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contextualSpacing/>
        <w:ind w:left="643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Style w:val="987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984"/>
        <w:gridCol w:w="1134"/>
        <w:gridCol w:w="1701"/>
        <w:gridCol w:w="2131"/>
        <w:gridCol w:w="1843"/>
        <w:gridCol w:w="1838"/>
      </w:tblGrid>
      <w:tr>
        <w:tblPrEx/>
        <w:trPr>
          <w:jc w:val="center"/>
          <w:trHeight w:val="972"/>
        </w:trPr>
        <w:tc>
          <w:tcPr>
            <w:tcW w:w="70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№ п/п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Реквизиты протокола экспертной комиссии </w:t>
            </w:r>
            <w:r>
              <w:rPr>
                <w:b/>
                <w:sz w:val="20"/>
                <w:szCs w:val="20"/>
                <w:highlight w:val="white"/>
              </w:rPr>
              <w:t xml:space="preserve">по рассмотрению заявок </w:t>
            </w:r>
            <w:r>
              <w:rPr>
                <w:b/>
                <w:sz w:val="20"/>
                <w:szCs w:val="20"/>
                <w:highlight w:val="white"/>
              </w:rPr>
              <w:br/>
              <w:t xml:space="preserve">на создание, модернизацию и развитие информационных систем Ленинградской области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Наименование информационной системы,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а также реестрового номера, при наличии)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Цель развития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Главный распорядитель бюджетных средств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Объем финансового обеспечения, выделяемого </w:t>
            </w:r>
            <w:r>
              <w:rPr>
                <w:b/>
                <w:bCs/>
                <w:sz w:val="20"/>
                <w:szCs w:val="20"/>
                <w:highlight w:val="white"/>
              </w:rPr>
              <w:br/>
              <w:t xml:space="preserve">за счет средств областного бюджета на отчетный год реализации мероприятия (рублей)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Фактически использованные бюджетные средства</w:t>
            </w:r>
            <w:r>
              <w:rPr>
                <w:b/>
                <w:bCs/>
                <w:sz w:val="20"/>
                <w:szCs w:val="20"/>
                <w:highlight w:val="white"/>
              </w:rPr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83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Причины отклонений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(при наличии)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>
          <w:jc w:val="center"/>
          <w:trHeight w:val="557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Cs/>
                <w:sz w:val="20"/>
                <w:szCs w:val="20"/>
                <w:highlight w:val="white"/>
              </w:rPr>
            </w:pPr>
            <w:r>
              <w:rPr>
                <w:bCs/>
                <w:sz w:val="20"/>
                <w:szCs w:val="20"/>
                <w:highlight w:val="white"/>
              </w:rPr>
              <w:t xml:space="preserve">1</w:t>
            </w: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3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bCs/>
                <w:sz w:val="20"/>
                <w:szCs w:val="20"/>
                <w:highlight w:val="white"/>
              </w:rPr>
            </w:pP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bCs/>
                <w:sz w:val="20"/>
                <w:szCs w:val="20"/>
                <w:highlight w:val="white"/>
              </w:rPr>
            </w:pP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</w:p>
        </w:tc>
        <w:tc>
          <w:tcPr>
            <w:tcW w:w="1838" w:type="dxa"/>
            <w:textDirection w:val="lrTb"/>
            <w:noWrap w:val="false"/>
          </w:tcPr>
          <w:p>
            <w:pPr>
              <w:jc w:val="center"/>
              <w:widowControl/>
              <w:rPr>
                <w:bCs/>
                <w:sz w:val="20"/>
                <w:szCs w:val="20"/>
                <w:highlight w:val="white"/>
              </w:rPr>
            </w:pP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  <w:r>
              <w:rPr>
                <w:bCs/>
                <w:sz w:val="20"/>
                <w:szCs w:val="20"/>
                <w:highlight w:val="white"/>
              </w:rPr>
            </w:r>
          </w:p>
        </w:tc>
      </w:tr>
    </w:tbl>
    <w:p>
      <w:pPr>
        <w:ind w:firstLine="284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284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3. Ход реализации мероприятий, проблемы и риски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Style w:val="986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1457"/>
        <w:gridCol w:w="2937"/>
        <w:gridCol w:w="2551"/>
        <w:gridCol w:w="2410"/>
        <w:gridCol w:w="2301"/>
        <w:gridCol w:w="1805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№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п</w:t>
            </w:r>
            <w:r>
              <w:rPr>
                <w:b/>
                <w:sz w:val="20"/>
                <w:szCs w:val="20"/>
                <w:highlight w:val="white"/>
              </w:rPr>
              <w:t xml:space="preserve">/</w:t>
            </w:r>
            <w:r>
              <w:rPr>
                <w:b/>
                <w:sz w:val="20"/>
                <w:szCs w:val="20"/>
                <w:highlight w:val="white"/>
              </w:rPr>
              <w:t xml:space="preserve">п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1457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Мероприятие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2937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Выполненные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этапы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и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даты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их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выполнения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Текущий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статус</w:t>
            </w:r>
            <w:r>
              <w:rPr>
                <w:b/>
                <w:sz w:val="20"/>
                <w:szCs w:val="20"/>
                <w:highlight w:val="white"/>
              </w:rPr>
              <w:t xml:space="preserve"> (</w:t>
            </w:r>
            <w:r>
              <w:rPr>
                <w:b/>
                <w:sz w:val="20"/>
                <w:szCs w:val="20"/>
                <w:highlight w:val="white"/>
              </w:rPr>
              <w:t xml:space="preserve">завершено</w:t>
            </w:r>
            <w:r>
              <w:rPr>
                <w:b/>
                <w:sz w:val="20"/>
                <w:szCs w:val="20"/>
                <w:highlight w:val="white"/>
              </w:rPr>
              <w:t xml:space="preserve">/</w:t>
            </w:r>
            <w:r>
              <w:rPr>
                <w:b/>
                <w:sz w:val="20"/>
                <w:szCs w:val="20"/>
                <w:highlight w:val="white"/>
              </w:rPr>
              <w:t xml:space="preserve">в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процессе</w:t>
            </w:r>
            <w:r>
              <w:rPr>
                <w:b/>
                <w:sz w:val="20"/>
                <w:szCs w:val="20"/>
                <w:highlight w:val="white"/>
              </w:rPr>
              <w:t xml:space="preserve">/</w:t>
            </w:r>
            <w:r>
              <w:rPr>
                <w:b/>
                <w:sz w:val="20"/>
                <w:szCs w:val="20"/>
                <w:highlight w:val="white"/>
              </w:rPr>
              <w:t xml:space="preserve">задержка</w:t>
            </w:r>
            <w:r>
              <w:rPr>
                <w:b/>
                <w:sz w:val="20"/>
                <w:szCs w:val="20"/>
                <w:highlight w:val="white"/>
              </w:rPr>
              <w:t xml:space="preserve">)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Использованные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ресурсы</w:t>
            </w:r>
            <w:r>
              <w:rPr>
                <w:b/>
                <w:sz w:val="20"/>
                <w:szCs w:val="20"/>
                <w:highlight w:val="white"/>
              </w:rPr>
              <w:t xml:space="preserve"> (</w:t>
            </w:r>
            <w:r>
              <w:rPr>
                <w:b/>
                <w:sz w:val="20"/>
                <w:szCs w:val="20"/>
                <w:highlight w:val="white"/>
              </w:rPr>
              <w:t xml:space="preserve">человеческие</w:t>
            </w:r>
            <w:r>
              <w:rPr>
                <w:b/>
                <w:sz w:val="20"/>
                <w:szCs w:val="20"/>
                <w:highlight w:val="white"/>
              </w:rPr>
              <w:t xml:space="preserve">, </w:t>
            </w:r>
            <w:r>
              <w:rPr>
                <w:b/>
                <w:sz w:val="20"/>
                <w:szCs w:val="20"/>
                <w:highlight w:val="white"/>
              </w:rPr>
              <w:t xml:space="preserve">технические</w:t>
            </w:r>
            <w:r>
              <w:rPr>
                <w:b/>
                <w:sz w:val="20"/>
                <w:szCs w:val="20"/>
                <w:highlight w:val="white"/>
              </w:rPr>
              <w:t xml:space="preserve">)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2301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Возникшие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проблемы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при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реализации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  <w:tc>
          <w:tcPr>
            <w:tcW w:w="1805" w:type="dxa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Меры</w:t>
            </w:r>
            <w:r>
              <w:rPr>
                <w:b/>
                <w:sz w:val="20"/>
                <w:szCs w:val="20"/>
                <w:highlight w:val="white"/>
              </w:rPr>
              <w:t xml:space="preserve">, </w:t>
            </w:r>
            <w:r>
              <w:rPr>
                <w:b/>
                <w:sz w:val="20"/>
                <w:szCs w:val="20"/>
                <w:highlight w:val="white"/>
              </w:rPr>
              <w:t xml:space="preserve">принятые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для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их</w:t>
            </w:r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sz w:val="20"/>
                <w:szCs w:val="20"/>
                <w:highlight w:val="white"/>
              </w:rPr>
              <w:t xml:space="preserve">решения</w:t>
            </w:r>
            <w:r>
              <w:rPr>
                <w:b/>
                <w:sz w:val="20"/>
                <w:szCs w:val="20"/>
                <w:highlight w:val="white"/>
              </w:rPr>
            </w:r>
            <w:r>
              <w:rPr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457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937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301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805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spacing w:after="200" w:line="276" w:lineRule="auto"/>
        <w:widowControl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</w:r>
      <w:r>
        <w:rPr>
          <w:rFonts w:eastAsiaTheme="minorHAnsi"/>
          <w:highlight w:val="white"/>
        </w:rPr>
      </w:r>
      <w:r>
        <w:rPr>
          <w:rFonts w:eastAsiaTheme="minorHAnsi"/>
          <w:highlight w:val="white"/>
        </w:rPr>
      </w:r>
    </w:p>
    <w:p>
      <w:pPr>
        <w:spacing w:after="200" w:line="276" w:lineRule="auto"/>
        <w:widowControl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</w:r>
      <w:r>
        <w:rPr>
          <w:rFonts w:eastAsiaTheme="minorHAnsi"/>
          <w:highlight w:val="white"/>
        </w:rPr>
      </w:r>
      <w:r>
        <w:rPr>
          <w:rFonts w:eastAsiaTheme="minorHAnsi"/>
          <w:highlight w:val="white"/>
        </w:rPr>
      </w:r>
    </w:p>
    <w:p>
      <w:pPr>
        <w:ind w:left="284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Руководитель органа 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284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исполнительной власти 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284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__________________        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 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_____________________________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284" w:firstLine="708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                                                    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(подпись)</w:t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  <w:t xml:space="preserve">  (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расшифровка подписи)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284"/>
        <w:spacing w:after="200" w:line="276" w:lineRule="auto"/>
        <w:widowControl/>
        <w:rPr>
          <w:rFonts w:asciiTheme="minorHAnsi" w:hAnsiTheme="minorHAnsi" w:eastAsiaTheme="minorHAnsi" w:cstheme="minorBidi"/>
          <w:sz w:val="22"/>
          <w:szCs w:val="22"/>
          <w:highlight w:val="white"/>
        </w:rPr>
      </w:pPr>
      <w:r>
        <w:rPr>
          <w:rFonts w:asciiTheme="minorHAnsi" w:hAnsiTheme="minorHAnsi" w:eastAsiaTheme="minorHAnsi" w:cstheme="minorBidi"/>
          <w:sz w:val="22"/>
          <w:szCs w:val="22"/>
          <w:highlight w:val="white"/>
          <w:lang w:eastAsia="en-US"/>
        </w:rPr>
      </w:r>
      <w:r>
        <w:rPr>
          <w:rFonts w:asciiTheme="minorHAnsi" w:hAnsiTheme="minorHAnsi" w:eastAsiaTheme="minorHAnsi" w:cstheme="minorBidi"/>
          <w:sz w:val="22"/>
          <w:szCs w:val="22"/>
          <w:highlight w:val="white"/>
        </w:rPr>
      </w:r>
      <w:r>
        <w:rPr>
          <w:rFonts w:asciiTheme="minorHAnsi" w:hAnsiTheme="minorHAnsi" w:eastAsiaTheme="minorHAnsi" w:cstheme="minorBidi"/>
          <w:sz w:val="22"/>
          <w:szCs w:val="22"/>
          <w:highlight w:val="white"/>
        </w:rPr>
      </w:r>
    </w:p>
    <w:p>
      <w:pPr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br w:type="page" w:clear="all"/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632"/>
        <w:jc w:val="center"/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Приложение</w:t>
      </w:r>
      <w:r>
        <w:rPr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 xml:space="preserve">2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632"/>
        <w:jc w:val="center"/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к </w:t>
      </w:r>
      <w:r>
        <w:rPr>
          <w:sz w:val="28"/>
          <w:szCs w:val="28"/>
          <w:highlight w:val="white"/>
          <w:lang w:eastAsia="en-US"/>
        </w:rPr>
        <w:t xml:space="preserve">Порядку, утвержденному</w:t>
      </w:r>
      <w:r>
        <w:rPr>
          <w:sz w:val="28"/>
          <w:szCs w:val="28"/>
          <w:highlight w:val="white"/>
          <w:lang w:eastAsia="en-US"/>
        </w:rPr>
        <w:br/>
      </w:r>
      <w:r>
        <w:rPr>
          <w:sz w:val="28"/>
          <w:szCs w:val="28"/>
          <w:highlight w:val="white"/>
          <w:lang w:eastAsia="en-US"/>
        </w:rPr>
        <w:t xml:space="preserve">постановлени</w:t>
      </w:r>
      <w:r>
        <w:rPr>
          <w:sz w:val="28"/>
          <w:szCs w:val="28"/>
          <w:highlight w:val="white"/>
          <w:lang w:eastAsia="en-US"/>
        </w:rPr>
        <w:t xml:space="preserve">ем</w:t>
      </w:r>
      <w:r>
        <w:rPr>
          <w:sz w:val="28"/>
          <w:szCs w:val="28"/>
          <w:highlight w:val="white"/>
          <w:lang w:eastAsia="en-US"/>
        </w:rPr>
        <w:t xml:space="preserve"> Правительства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632"/>
        <w:jc w:val="center"/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632"/>
        <w:jc w:val="center"/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о</w:t>
      </w:r>
      <w:r>
        <w:rPr>
          <w:sz w:val="28"/>
          <w:szCs w:val="28"/>
          <w:highlight w:val="white"/>
          <w:lang w:eastAsia="en-US"/>
        </w:rPr>
        <w:t xml:space="preserve">т</w:t>
      </w:r>
      <w:r>
        <w:rPr>
          <w:sz w:val="28"/>
          <w:szCs w:val="28"/>
          <w:highlight w:val="white"/>
          <w:lang w:eastAsia="en-US"/>
        </w:rPr>
        <w:t xml:space="preserve"> ___________</w:t>
      </w:r>
      <w:r>
        <w:rPr>
          <w:sz w:val="28"/>
          <w:szCs w:val="28"/>
          <w:highlight w:val="white"/>
          <w:lang w:eastAsia="en-US"/>
        </w:rPr>
        <w:t xml:space="preserve"> №_________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10632"/>
        <w:jc w:val="center"/>
        <w:widowControl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(типовая форма)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Style w:val="98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825"/>
        <w:gridCol w:w="4744"/>
      </w:tblGrid>
      <w:tr>
        <w:tblPrEx/>
        <w:trPr/>
        <w:tc>
          <w:tcPr>
            <w:tcW w:w="9973" w:type="dxa"/>
            <w:textDirection w:val="lrTb"/>
            <w:noWrap w:val="false"/>
          </w:tcPr>
          <w:p>
            <w:pPr>
              <w:widowControl/>
              <w:rPr>
                <w:rFonts w:hAnsiTheme="minorHAnsi"/>
                <w:sz w:val="22"/>
                <w:szCs w:val="22"/>
                <w:highlight w:val="white"/>
              </w:rPr>
            </w:pPr>
            <w:r>
              <w:rPr>
                <w:rFonts w:hAnsiTheme="minorHAnsi"/>
                <w:sz w:val="22"/>
                <w:szCs w:val="22"/>
                <w:highlight w:val="white"/>
              </w:rPr>
            </w:r>
            <w:r>
              <w:rPr>
                <w:rFonts w:hAnsiTheme="minorHAnsi"/>
                <w:sz w:val="22"/>
                <w:szCs w:val="22"/>
                <w:highlight w:val="white"/>
              </w:rPr>
            </w:r>
            <w:r>
              <w:rPr>
                <w:rFonts w:hAnsiTheme="minorHAnsi"/>
                <w:sz w:val="22"/>
                <w:szCs w:val="22"/>
                <w:highlight w:val="white"/>
              </w:rPr>
            </w:r>
          </w:p>
        </w:tc>
        <w:tc>
          <w:tcPr>
            <w:tcW w:w="4813" w:type="dxa"/>
            <w:textDirection w:val="lrTb"/>
            <w:noWrap w:val="false"/>
          </w:tcPr>
          <w:p>
            <w:pPr>
              <w:jc w:val="right"/>
              <w:widowControl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jc w:val="center"/>
        <w:widowControl/>
        <w:rPr>
          <w:rFonts w:eastAsiaTheme="minorHAnsi"/>
          <w:b/>
          <w:highlight w:val="white"/>
        </w:rPr>
      </w:pPr>
      <w:r>
        <w:rPr>
          <w:rFonts w:eastAsiaTheme="minorHAnsi"/>
          <w:b/>
          <w:highlight w:val="white"/>
          <w:lang w:eastAsia="en-US"/>
        </w:rPr>
      </w:r>
      <w:r>
        <w:rPr>
          <w:rFonts w:eastAsiaTheme="minorHAnsi"/>
          <w:b/>
          <w:highlight w:val="white"/>
        </w:rPr>
      </w:r>
      <w:r>
        <w:rPr>
          <w:rFonts w:eastAsiaTheme="minorHAnsi"/>
          <w:b/>
          <w:highlight w:val="white"/>
        </w:rPr>
      </w:r>
    </w:p>
    <w:p>
      <w:pPr>
        <w:jc w:val="center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highlight w:val="white"/>
          <w:lang w:eastAsia="en-US"/>
        </w:rPr>
        <w:t xml:space="preserve">СВОДНЫЙ ОТЧЁТ </w:t>
      </w:r>
      <w:r>
        <w:rPr>
          <w:rFonts w:eastAsiaTheme="minorHAnsi"/>
          <w:b/>
          <w:highlight w:val="white"/>
          <w:lang w:eastAsia="en-US"/>
        </w:rPr>
        <w:br/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Комитета цифрового развития Ленинградской области о ходе реализации мероприятий 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br/>
        <w:t xml:space="preserve">по созданию, модернизации или развитию информационной системы Ленинградской области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709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709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1. Общие сведения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W w:w="1480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480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04" w:type="dxa"/>
            <w:textDirection w:val="lrTb"/>
            <w:noWrap w:val="false"/>
          </w:tcPr>
          <w:p>
            <w:pPr>
              <w:ind w:firstLine="647"/>
              <w:jc w:val="both"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1. Период отчета: </w:t>
            </w: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с __________ 20__ г. по __________ 20__</w:t>
            </w:r>
            <w:r>
              <w:rPr>
                <w:rFonts w:eastAsiaTheme="minorEastAsia"/>
                <w:sz w:val="28"/>
                <w:szCs w:val="28"/>
                <w:highlight w:val="white"/>
                <w:u w:val="none"/>
              </w:rPr>
              <w:t xml:space="preserve"> г.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04" w:type="dxa"/>
            <w:textDirection w:val="lrTb"/>
            <w:noWrap w:val="false"/>
          </w:tcPr>
          <w:p>
            <w:pPr>
              <w:ind w:firstLine="647"/>
              <w:jc w:val="both"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  <w:t xml:space="preserve">2. Количество главных распорядителей бюджетных средств, предоставивших отчёты: _________________________</w:t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  <w:p>
            <w:pPr>
              <w:ind w:firstLine="647"/>
              <w:jc w:val="both"/>
              <w:rPr>
                <w:rFonts w:eastAsiaTheme="minorEastAsia"/>
                <w:sz w:val="28"/>
                <w:szCs w:val="28"/>
                <w:highlight w:val="white"/>
              </w:rPr>
            </w:pP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  <w:r>
              <w:rPr>
                <w:rFonts w:eastAsiaTheme="minorEastAsia"/>
                <w:sz w:val="28"/>
                <w:szCs w:val="28"/>
                <w:highlight w:val="white"/>
              </w:rPr>
            </w:r>
          </w:p>
        </w:tc>
      </w:tr>
    </w:tbl>
    <w:p>
      <w:pPr>
        <w:ind w:firstLine="709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2. Итоговые показатели, распределение финансирования и исполнения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Style w:val="989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845"/>
        <w:gridCol w:w="2126"/>
        <w:gridCol w:w="1134"/>
        <w:gridCol w:w="1701"/>
        <w:gridCol w:w="2542"/>
        <w:gridCol w:w="1843"/>
        <w:gridCol w:w="1559"/>
      </w:tblGrid>
      <w:tr>
        <w:tblPrEx/>
        <w:trPr>
          <w:jc w:val="center"/>
          <w:trHeight w:val="972"/>
        </w:trPr>
        <w:tc>
          <w:tcPr>
            <w:tcW w:w="56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28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Реквизиты протокола экспертной комиссии </w:t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  <w:t xml:space="preserve">по рассмотрению заявок </w:t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  <w:br/>
              <w:t xml:space="preserve">на создание, модернизацию и развитие  информационных систем Ленинградской области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Наименование  информационной системы,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а также реестрового номера, при наличии)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Цель развития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Главный распорядитель бюджетных средств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25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 xml:space="preserve">Объем финансового обеспечения, выделяемого 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br/>
              <w:t xml:space="preserve">за счет средств областного бюджета на отчетный год реализации мероприятия (рублей)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sz w:val="20"/>
                <w:szCs w:val="20"/>
                <w:highlight w:val="white"/>
              </w:rPr>
              <w:t xml:space="preserve">Фактически использованные бюджетные средства</w:t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cs="Times New Roman"/>
                <w:b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sz w:val="20"/>
                <w:szCs w:val="20"/>
                <w:highlight w:val="white"/>
              </w:rPr>
              <w:t xml:space="preserve">Причины отклонений</w:t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widowControl/>
              <w:rPr>
                <w:rFonts w:cs="Times New Roman"/>
                <w:b/>
                <w:sz w:val="20"/>
                <w:szCs w:val="20"/>
                <w:highlight w:val="white"/>
              </w:rPr>
            </w:pPr>
            <w:r>
              <w:rPr>
                <w:rFonts w:cs="Times New Roman"/>
                <w:b/>
                <w:sz w:val="20"/>
                <w:szCs w:val="20"/>
                <w:highlight w:val="white"/>
              </w:rPr>
              <w:t xml:space="preserve">(при наличии)</w:t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</w:r>
            <w:r>
              <w:rPr>
                <w:rFonts w:cs="Times New Roman"/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>
          <w:jc w:val="center"/>
          <w:trHeight w:val="557"/>
        </w:trPr>
        <w:tc>
          <w:tcPr>
            <w:tcW w:w="56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</w:p>
        </w:tc>
        <w:tc>
          <w:tcPr>
            <w:tcW w:w="28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sz w:val="20"/>
                <w:szCs w:val="20"/>
                <w:highlight w:val="white"/>
              </w:rPr>
            </w:r>
          </w:p>
        </w:tc>
        <w:tc>
          <w:tcPr>
            <w:tcW w:w="25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pP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  <w:r>
              <w:rPr>
                <w:rFonts w:asciiTheme="minorHAnsi" w:hAnsiTheme="minorHAnsi"/>
                <w:bCs/>
                <w:sz w:val="20"/>
                <w:szCs w:val="20"/>
                <w:highlight w:val="white"/>
              </w:rPr>
            </w:r>
          </w:p>
        </w:tc>
      </w:tr>
    </w:tbl>
    <w:p>
      <w:pPr>
        <w:ind w:left="709"/>
        <w:spacing w:after="200" w:line="276" w:lineRule="auto"/>
        <w:widowControl/>
        <w:rPr>
          <w:rFonts w:eastAsiaTheme="minorHAnsi"/>
          <w:b/>
          <w:sz w:val="28"/>
          <w:szCs w:val="28"/>
          <w:highlight w:val="white"/>
        </w:rPr>
      </w:pPr>
      <w:r>
        <w:rPr>
          <w:rFonts w:eastAsiaTheme="minorHAnsi"/>
          <w:b/>
          <w:highlight w:val="white"/>
          <w:lang w:eastAsia="en-US"/>
        </w:rPr>
        <w:br/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3. Ход реализации мероприятий, проблемы и риски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tbl>
      <w:tblPr>
        <w:tblStyle w:val="988"/>
        <w:tblW w:w="14317" w:type="dxa"/>
        <w:tblInd w:w="137" w:type="dxa"/>
        <w:tblLook w:val="04A0" w:firstRow="1" w:lastRow="0" w:firstColumn="1" w:lastColumn="0" w:noHBand="0" w:noVBand="1"/>
      </w:tblPr>
      <w:tblGrid>
        <w:gridCol w:w="709"/>
        <w:gridCol w:w="2126"/>
        <w:gridCol w:w="2410"/>
        <w:gridCol w:w="2268"/>
        <w:gridCol w:w="3402"/>
        <w:gridCol w:w="1759"/>
        <w:gridCol w:w="1643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Мероприятие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Выполненные этапы и даты их выполнения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Текущий статус (завершено/в процессе/задержка)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Использованные ресурсы (человеческие, технические)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1759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Возникшие проблемы при реализации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1643" w:type="dxa"/>
            <w:textDirection w:val="lrTb"/>
            <w:noWrap w:val="false"/>
          </w:tcPr>
          <w:p>
            <w:pPr>
              <w:jc w:val="center"/>
              <w:widowControl/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  <w:t xml:space="preserve">Меры, принятые для их решения</w:t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cs="Times New Roman"/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759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643" w:type="dxa"/>
            <w:textDirection w:val="lrTb"/>
            <w:noWrap w:val="false"/>
          </w:tcPr>
          <w:p>
            <w:pPr>
              <w:widowControl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spacing w:line="320" w:lineRule="exact"/>
        <w:widowControl/>
        <w:rPr>
          <w:rFonts w:eastAsiaTheme="minorHAnsi"/>
          <w:b/>
          <w:highlight w:val="white"/>
        </w:rPr>
      </w:pPr>
      <w:r>
        <w:rPr>
          <w:rFonts w:eastAsiaTheme="minorHAnsi"/>
          <w:b/>
          <w:highlight w:val="white"/>
          <w:lang w:eastAsia="en-US"/>
        </w:rPr>
      </w:r>
      <w:r>
        <w:rPr>
          <w:rFonts w:eastAsiaTheme="minorHAnsi"/>
          <w:b/>
          <w:highlight w:val="white"/>
        </w:rPr>
      </w:r>
      <w:r>
        <w:rPr>
          <w:rFonts w:eastAsiaTheme="minorHAnsi"/>
          <w:b/>
          <w:highlight w:val="white"/>
        </w:rPr>
      </w:r>
    </w:p>
    <w:p>
      <w:pPr>
        <w:spacing w:line="320" w:lineRule="exact"/>
        <w:widowControl/>
        <w:rPr>
          <w:rFonts w:eastAsiaTheme="minorHAnsi"/>
          <w:b/>
          <w:highlight w:val="white"/>
        </w:rPr>
      </w:pPr>
      <w:r>
        <w:rPr>
          <w:rFonts w:eastAsiaTheme="minorHAnsi"/>
          <w:b/>
          <w:highlight w:val="white"/>
          <w:lang w:eastAsia="en-US"/>
        </w:rPr>
      </w:r>
      <w:r>
        <w:rPr>
          <w:rFonts w:eastAsiaTheme="minorHAnsi"/>
          <w:b/>
          <w:highlight w:val="white"/>
        </w:rPr>
      </w:r>
      <w:r>
        <w:rPr>
          <w:rFonts w:eastAsiaTheme="minorHAnsi"/>
          <w:b/>
          <w:highlight w:val="white"/>
        </w:rPr>
      </w:r>
    </w:p>
    <w:p>
      <w:pPr>
        <w:ind w:firstLine="709"/>
        <w:spacing w:line="320" w:lineRule="exact"/>
        <w:widowControl/>
        <w:rPr>
          <w:rFonts w:eastAsiaTheme="minorHAnsi"/>
          <w:sz w:val="28"/>
          <w:szCs w:val="28"/>
          <w:highlight w:val="white"/>
          <w:u w:val="single"/>
        </w:rPr>
      </w:pPr>
      <w:r>
        <w:rPr>
          <w:rFonts w:eastAsiaTheme="minorHAnsi"/>
          <w:sz w:val="28"/>
          <w:szCs w:val="28"/>
          <w:highlight w:val="white"/>
          <w:u w:val="single"/>
          <w:lang w:eastAsia="en-US"/>
        </w:rPr>
        <w:t xml:space="preserve">Приложения: </w:t>
      </w:r>
      <w:r>
        <w:rPr>
          <w:rFonts w:eastAsiaTheme="minorHAnsi"/>
          <w:sz w:val="28"/>
          <w:szCs w:val="28"/>
          <w:highlight w:val="white"/>
          <w:u w:val="single"/>
        </w:rPr>
      </w:r>
      <w:r>
        <w:rPr>
          <w:rFonts w:eastAsiaTheme="minorHAnsi"/>
          <w:sz w:val="28"/>
          <w:szCs w:val="28"/>
          <w:highlight w:val="white"/>
          <w:u w:val="single"/>
        </w:rPr>
      </w:r>
    </w:p>
    <w:p>
      <w:pPr>
        <w:ind w:left="709"/>
        <w:jc w:val="both"/>
        <w:spacing w:line="320" w:lineRule="exact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отчеты главных распорядителей бюджетных средств о ходе реализации мероприятий по созданию, модернизации </w:t>
      </w:r>
      <w:r>
        <w:rPr>
          <w:rFonts w:eastAsiaTheme="minorHAnsi"/>
          <w:sz w:val="28"/>
          <w:szCs w:val="28"/>
          <w:highlight w:val="white"/>
          <w:lang w:eastAsia="en-US"/>
        </w:rPr>
        <w:br/>
        <w:t xml:space="preserve">или развитию информационной системы Ленинградской области.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jc w:val="center"/>
        <w:spacing w:after="200" w:line="276" w:lineRule="auto"/>
        <w:widowControl/>
        <w:rPr>
          <w:rFonts w:eastAsiaTheme="minorHAnsi"/>
          <w:b/>
          <w:highlight w:val="white"/>
        </w:rPr>
      </w:pPr>
      <w:r>
        <w:rPr>
          <w:rFonts w:eastAsiaTheme="minorHAnsi"/>
          <w:b/>
          <w:highlight w:val="white"/>
          <w:lang w:eastAsia="en-US"/>
        </w:rPr>
      </w:r>
      <w:r>
        <w:rPr>
          <w:rFonts w:eastAsiaTheme="minorHAnsi"/>
          <w:b/>
          <w:highlight w:val="white"/>
        </w:rPr>
      </w:r>
      <w:r>
        <w:rPr>
          <w:rFonts w:eastAsiaTheme="minorHAnsi"/>
          <w:b/>
          <w:highlight w:val="white"/>
        </w:rPr>
      </w:r>
    </w:p>
    <w:p>
      <w:pPr>
        <w:jc w:val="center"/>
        <w:spacing w:after="200" w:line="276" w:lineRule="auto"/>
        <w:widowControl/>
        <w:rPr>
          <w:rFonts w:eastAsiaTheme="minorHAnsi"/>
          <w:b/>
          <w:highlight w:val="white"/>
        </w:rPr>
      </w:pPr>
      <w:r>
        <w:rPr>
          <w:rFonts w:eastAsiaTheme="minorHAnsi"/>
          <w:b/>
          <w:highlight w:val="white"/>
          <w:lang w:eastAsia="en-US"/>
        </w:rPr>
      </w:r>
      <w:r>
        <w:rPr>
          <w:rFonts w:eastAsiaTheme="minorHAnsi"/>
          <w:b/>
          <w:highlight w:val="white"/>
        </w:rPr>
      </w:r>
      <w:r>
        <w:rPr>
          <w:rFonts w:eastAsiaTheme="minorHAnsi"/>
          <w:b/>
          <w:highlight w:val="white"/>
        </w:rPr>
      </w:r>
    </w:p>
    <w:p>
      <w:pPr>
        <w:ind w:left="426"/>
        <w:spacing w:line="276" w:lineRule="auto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Руководитель органа 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426"/>
        <w:spacing w:line="276" w:lineRule="auto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исполнительной власти 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426"/>
        <w:spacing w:line="276" w:lineRule="auto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Ленинградской области</w:t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  <w:t xml:space="preserve">__________________         _____________________________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ind w:left="426" w:firstLine="708"/>
        <w:spacing w:line="276" w:lineRule="auto"/>
        <w:widowControl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 xml:space="preserve">                                                  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(подпись)</w:t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</w:r>
      <w:r>
        <w:rPr>
          <w:rFonts w:eastAsiaTheme="minorHAnsi"/>
          <w:sz w:val="28"/>
          <w:szCs w:val="28"/>
          <w:highlight w:val="white"/>
          <w:lang w:eastAsia="en-US"/>
        </w:rPr>
        <w:tab/>
        <w:t xml:space="preserve">  (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расшифровка подписи)</w:t>
      </w:r>
      <w:r>
        <w:rPr>
          <w:rFonts w:eastAsiaTheme="minorHAnsi"/>
          <w:sz w:val="28"/>
          <w:szCs w:val="28"/>
          <w:highlight w:val="white"/>
        </w:rPr>
      </w:r>
      <w:r>
        <w:rPr>
          <w:rFonts w:eastAsiaTheme="minorHAnsi"/>
          <w:sz w:val="28"/>
          <w:szCs w:val="28"/>
          <w:highlight w:val="white"/>
        </w:rPr>
      </w:r>
    </w:p>
    <w:p>
      <w:pPr>
        <w:spacing w:after="200" w:line="276" w:lineRule="auto"/>
        <w:widowControl/>
        <w:rPr>
          <w:rFonts w:asciiTheme="minorHAnsi" w:hAnsiTheme="minorHAnsi" w:eastAsiaTheme="minorHAnsi" w:cstheme="minorBidi"/>
          <w:sz w:val="22"/>
          <w:szCs w:val="22"/>
          <w:highlight w:val="white"/>
        </w:rPr>
      </w:pPr>
      <w:r>
        <w:rPr>
          <w:rFonts w:asciiTheme="minorHAnsi" w:hAnsiTheme="minorHAnsi" w:eastAsiaTheme="minorHAnsi" w:cstheme="minorBidi"/>
          <w:sz w:val="22"/>
          <w:szCs w:val="22"/>
          <w:highlight w:val="white"/>
          <w:lang w:eastAsia="en-US"/>
        </w:rPr>
      </w:r>
      <w:r>
        <w:rPr>
          <w:rFonts w:asciiTheme="minorHAnsi" w:hAnsiTheme="minorHAnsi" w:eastAsiaTheme="minorHAnsi" w:cstheme="minorBidi"/>
          <w:sz w:val="22"/>
          <w:szCs w:val="22"/>
          <w:highlight w:val="white"/>
        </w:rPr>
      </w:r>
      <w:r>
        <w:rPr>
          <w:rFonts w:asciiTheme="minorHAnsi" w:hAnsiTheme="minorHAnsi" w:eastAsiaTheme="minorHAnsi" w:cstheme="minorBidi"/>
          <w:sz w:val="22"/>
          <w:szCs w:val="22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709"/>
        <w:jc w:val="both"/>
        <w:widowControl/>
        <w:rPr>
          <w:sz w:val="28"/>
          <w:szCs w:val="28"/>
          <w:highlight w:val="white"/>
        </w:rPr>
        <w:sectPr>
          <w:footnotePr/>
          <w:endnotePr/>
          <w:type w:val="nextPage"/>
          <w:pgSz w:w="16837" w:h="11905" w:orient="landscape"/>
          <w:pgMar w:top="1134" w:right="1134" w:bottom="232" w:left="1134" w:header="709" w:footer="709" w:gutter="0"/>
          <w:cols w:num="1" w:sep="0" w:space="60" w:equalWidth="1"/>
          <w:docGrid w:linePitch="360"/>
          <w:titlePg/>
        </w:sectPr>
        <w:outlineLvl w:val="1"/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ПОЯСНИТЕЛЬНАЯ ЗАПИСКА</w:t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eastAsia="Times New Roman" w:cs="Times New Roman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 проекту постановления Правительства </w:t>
        <w:br/>
        <w:t xml:space="preserve">Ленинградской области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О внесении изменений и дополнений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постановление Правительства Ленинградской области от 05.08.2024 № 534 </w:t>
        <w:br/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7"/>
          <w:szCs w:val="27"/>
        </w:rPr>
        <w:t xml:space="preserve">Об утверждении Положения о Комитете цифрового развития Ленинградской области и о признании утратившими силу полностью или частично отдельных постановлений Правительства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, об утверждении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орядка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координации мероприятий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 использованию информационно-к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оммуникационных технологий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Порядка взаимодействия органов исполнительной власти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Ленинградской области при создании, модернизаци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развитии, обеспечении функционирования 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и выводе </w:t>
        <w:br/>
        <w:t xml:space="preserve">из эксплуатации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госуд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арственных информационн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ых систем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 о признании утратившими силу отдельных постановлений </w:t>
        <w:br/>
        <w:t xml:space="preserve">Правительства Ленинградской области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eastAsia="Times New Roman" w:cs="Times New Roman"/>
          <w:sz w:val="27"/>
          <w:szCs w:val="27"/>
        </w:rPr>
      </w:r>
    </w:p>
    <w:p>
      <w:pPr>
        <w:pStyle w:val="984"/>
        <w:contextualSpacing/>
        <w:jc w:val="both"/>
        <w:spacing w:before="0" w:beforeAutospacing="0" w:after="0" w:afterAutospacing="0" w:line="240" w:lineRule="atLeast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</w:p>
    <w:p>
      <w:pPr>
        <w:pStyle w:val="984"/>
        <w:contextualSpacing/>
        <w:jc w:val="both"/>
        <w:spacing w:before="0" w:beforeAutospacing="0" w:after="0" w:afterAutospacing="0" w:line="240" w:lineRule="atLeast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r>
    </w:p>
    <w:p>
      <w:pPr>
        <w:ind w:left="0" w:right="-1" w:firstLine="709"/>
        <w:jc w:val="both"/>
        <w:spacing w:before="0" w:after="0" w:line="288" w:lineRule="atLeast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Проект постановлени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я Правительства Ленинградской области 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О внесении изменений и дополнений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постановление Правительства Ленинградской области </w:t>
        <w:br/>
        <w:t xml:space="preserve">от 05.08.2024 № 534 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7"/>
          <w:szCs w:val="27"/>
        </w:rPr>
        <w:t xml:space="preserve">Об утверждении Положения о Комитете цифрового развития Ленинградской области и о признании утратившими силу полностью или частично отдельных постановлений Правительства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, об утверждении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орядка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координации мероприятий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 использованию информационно-к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оммуникационных технологий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Порядка взаимодействия органов исполнительной власти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Ленинградской области при создании, модернизаци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развитии, обеспечении функционирования 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  <w:lang w:eastAsia="en-US"/>
        </w:rPr>
        <w:t xml:space="preserve">и выводе из эксплуатации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госуд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арственных информационн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ых систем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 о признании утратившими силу отдельных постановлений Правительства Ленинградской области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 разработан Комитетом цифрового развития Ленинградской области (далее – Комитет) с целью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приведения Положения о Комитете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соответствие с 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действующим законодательством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, </w:t>
        <w:br/>
        <w:t xml:space="preserve">а также 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устранения множественности нормативных право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вых актов и обеспечения упорядоченности нормативной базы в рамках реализации мероприятий </w:t>
        <w:br/>
        <w:t xml:space="preserve">по использованию информационно‑коммуникационных технологий 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внесению изменений 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постановление Правительства Ленинградской области 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от 5 августа 2024 года № 534 «Об утверждении Положения о Комитете цифрового развития Ленинградской области и о признании утратившими силу полностью </w:t>
        <w:br/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или частично отдельных постановлений Прав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ительства Ленинградской области</w:t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  <w:br/>
      </w:r>
      <w:r>
        <w:rPr>
          <w:rStyle w:val="950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(далее – постановление) Комитет сообщает следующее.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Согласно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постановлению Губернатора Ленинградской области от 06.11.2025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br/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№ 136-пг «Об утверждении структуры исполнительных органов Ленинградской области и признании утративш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ими силу некоторых постановлений Губернатора Ленинградской области» в новую структуру входит первый вице-губернатор Ленинградской области - заместитель Председателя Правительства Ленинградской области - председатель комитета финансов Ленинградской области.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На основании вышеизложенного изменения вносятся в п. 3 постановления,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br/>
        <w:t xml:space="preserve">п. 4.2, 4.3, 4.5.1, 4.5.6, 4.6,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4.5.7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Положения о Комитете, утвержденного постановлением (далее – Положение).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Пункт 2.18 включается в Положение согласно письму Контрольно-счетной палаты Ленинградской области от 06.06.2025 №01-18-78/2025 по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результатам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провед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е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ния экспертно-аналитического мероприятия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«Внешняя проверка годовой бюджетной отчетности главных администраторов средств областного бюджета Ленинградской области за 2024 год и оформление заключений»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, в рамках которого сформулирована необходимость создания структурного подразделения с целью соблюдения принципа функциональной независимости в отношении субъекта внутреннего финансового аудита.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пункту  2.3.4 Положения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Комитет считает целесообразным исключить 2.3.4 Положения,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котором указан частный случай создания, развития и эксплуатации государственных информационных систем Ленинградской области,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так как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полномочия Комитета </w:t>
        <w:br/>
        <w:t xml:space="preserve">по вопросам создания, развития, модернизации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 эксплуатации государственных информационных систем отнесена организация создания, модернизации, развития, эксплуатации государственных информационных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систем Ленинградской области </w:t>
        <w:br/>
        <w:t xml:space="preserve">на основании федеральных, областных законов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 иных правовых актов.   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Комитет считает целесообразным включение п. 2.6.2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 Положение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соответствии с Национальной стратегией развития искусственного интеллекта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на период до 2030 года, утвержденной Указом Президента Российской Федерации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от 10.10.2019 № 490 </w:t>
        <w:br/>
        <w:t xml:space="preserve">«О развитии искусственного интеллекта в Российской Федерации»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(далее – Стратегия),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согласно которой ц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елями развития искусственного интеллекта в Российской Федерации являются обеспечение роста благосостояния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и качества жизни ее населения, обеспечение национальной безопасности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и правопорядка, достижение устойчивой конкурентоспособности российской экономики, в том числе лидирующих позиций </w:t>
        <w:br/>
        <w:t xml:space="preserve">в мире в области искусственного интеллекта.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Протоколом заочного голосования подкомиссии по ключевым проектам цифровой трансформации отраслей экономики, социальной сферы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и государственного управления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еятельности от 20 января 2026 года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№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1пр утверждены состав </w:t>
        <w:br/>
        <w:t xml:space="preserve">и методика оперативного рейтинга выполнения показателей эффектив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но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сти </w:t>
        <w:br/>
        <w:t xml:space="preserve">и результативности заместителей высших должностных лиц (руководителей высших органов исполнительной власти) субъектов Российской Федерации, ответственных </w:t>
        <w:br/>
        <w:t xml:space="preserve">за цифровую трансформацию (руководителей цифровой трансформации регионов) (далее – рейтинг РЦТ).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 состав рейтинга РЦТ включены два показателя непосредственно характер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изующие уровень внедрения сценариев использования доверенного искусственного интеллекта на базе региональных решений и сервисов, а также наборов данных для искусственного интеллекта, сформированных в региональных информационных системах и размещенных в фед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еральной информационной системе </w:t>
        <w:br/>
        <w:t xml:space="preserve">в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состав рейтинга РЦТ включены два показателя непосредственно характеризующие уровень внедрения сценариев использования доверенного искусственного интеллекта на базе региональных решений и сервисов, а также наборов данных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br/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для искусственного интеллекта, сформированных в региональных информационных системах и размещенных в федеральной информационной системе.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Ключевые показатели характеризуют результат эффективности деятельности руководителя цифровой трансформации субъекта Российской Федерации.</w:t>
      </w:r>
      <w:r>
        <w:rPr>
          <w:rFonts w:ascii="Times New Roman" w:hAnsi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pStyle w:val="924"/>
        <w:ind w:firstLine="709"/>
        <w:jc w:val="both"/>
        <w:spacing w:after="0" w:line="240" w:lineRule="auto"/>
        <w:widowControl w:val="off"/>
        <w:tabs>
          <w:tab w:val="left" w:pos="2283" w:leader="none"/>
        </w:tabs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auto"/>
          <w:sz w:val="27"/>
          <w:szCs w:val="27"/>
          <w:highlight w:val="white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Вместе с тем,  принят Федеральный закон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от 26 июля 2026 года № 243-ФЗ </w:t>
        <w:br/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1"/>
          <w:sz w:val="27"/>
          <w:szCs w:val="27"/>
          <w:highlight w:val="white"/>
        </w:rPr>
        <w:t xml:space="preserve">О поддержке развития технологий искусственного интеллекта в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1"/>
          <w:sz w:val="27"/>
          <w:szCs w:val="27"/>
          <w:highlight w:val="white"/>
        </w:rPr>
        <w:t xml:space="preserve">», согласно пункту 3 статьи 5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Министерство цифрового развития, связи </w:t>
        <w:br/>
        <w:t xml:space="preserve">и массовых коммуникаций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</w:p>
    <w:p>
      <w:pPr>
        <w:pStyle w:val="924"/>
        <w:ind w:firstLine="709"/>
        <w:jc w:val="both"/>
        <w:spacing w:after="0" w:line="240" w:lineRule="auto"/>
        <w:widowControl w:val="off"/>
        <w:tabs>
          <w:tab w:val="left" w:pos="2283" w:leader="none"/>
        </w:tabs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1) </w:t>
      </w:r>
      <w:r>
        <w:rPr>
          <w:rFonts w:ascii="Times New Roman" w:hAnsi="Times New Roman"/>
          <w:sz w:val="27"/>
          <w:szCs w:val="27"/>
          <w:highlight w:val="white"/>
        </w:rPr>
        <w:t xml:space="preserve"> </w:t>
      </w:r>
      <w:r>
        <w:rPr>
          <w:rFonts w:ascii="Times New Roman" w:hAnsi="Times New Roman"/>
          <w:sz w:val="27"/>
          <w:szCs w:val="27"/>
          <w:highlight w:val="white"/>
        </w:rPr>
        <w:t xml:space="preserve">осуществляет анализ развития больших фундаментальных моделей искусственного интеллекта, в том числе вырабатывает меры по совершенствованию правового регулирования в сфере </w:t>
      </w:r>
      <w:r>
        <w:rPr>
          <w:rFonts w:ascii="Times New Roman" w:hAnsi="Times New Roman"/>
          <w:bCs/>
          <w:sz w:val="27"/>
          <w:szCs w:val="27"/>
          <w:highlight w:val="white"/>
        </w:rPr>
        <w:t xml:space="preserve">разработки, внедрения и</w:t>
      </w:r>
      <w:r>
        <w:rPr>
          <w:rFonts w:ascii="Times New Roman" w:hAnsi="Times New Roman"/>
          <w:sz w:val="27"/>
          <w:szCs w:val="27"/>
          <w:highlight w:val="white"/>
        </w:rPr>
        <w:t xml:space="preserve"> применения </w:t>
      </w:r>
      <w:r>
        <w:rPr>
          <w:rFonts w:ascii="Times New Roman" w:hAnsi="Times New Roman"/>
          <w:bCs/>
          <w:sz w:val="27"/>
          <w:szCs w:val="27"/>
          <w:highlight w:val="white"/>
        </w:rPr>
        <w:t xml:space="preserve">больших фундаментальных моделей</w:t>
      </w:r>
      <w:r>
        <w:rPr>
          <w:rFonts w:ascii="Times New Roman" w:hAnsi="Times New Roman"/>
          <w:sz w:val="27"/>
          <w:szCs w:val="27"/>
          <w:highlight w:val="white"/>
        </w:rPr>
        <w:t xml:space="preserve"> искусственного интеллекта;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pStyle w:val="924"/>
        <w:ind w:firstLine="709"/>
        <w:jc w:val="both"/>
        <w:spacing w:after="0" w:line="240" w:lineRule="auto"/>
        <w:widowControl w:val="off"/>
        <w:tabs>
          <w:tab w:val="left" w:pos="2283" w:leader="none"/>
        </w:tabs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2) </w:t>
      </w:r>
      <w:r>
        <w:rPr>
          <w:rFonts w:ascii="Times New Roman" w:hAnsi="Times New Roman"/>
          <w:sz w:val="27"/>
          <w:szCs w:val="27"/>
          <w:highlight w:val="white"/>
        </w:rPr>
        <w:t xml:space="preserve"> </w:t>
      </w:r>
      <w:r>
        <w:rPr>
          <w:rFonts w:ascii="Times New Roman" w:hAnsi="Times New Roman"/>
          <w:sz w:val="27"/>
          <w:szCs w:val="27"/>
          <w:highlight w:val="white"/>
        </w:rPr>
        <w:t xml:space="preserve">оказывает методическую поддержку государственным органам и органам местного самоуправления в сфере </w:t>
      </w:r>
      <w:r>
        <w:rPr>
          <w:rFonts w:ascii="Times New Roman" w:hAnsi="Times New Roman"/>
          <w:bCs/>
          <w:sz w:val="27"/>
          <w:szCs w:val="27"/>
          <w:highlight w:val="white"/>
        </w:rPr>
        <w:t xml:space="preserve">разработки, внедрения и</w:t>
      </w:r>
      <w:r>
        <w:rPr>
          <w:rFonts w:ascii="Times New Roman" w:hAnsi="Times New Roman"/>
          <w:sz w:val="27"/>
          <w:szCs w:val="27"/>
          <w:highlight w:val="white"/>
        </w:rPr>
        <w:t xml:space="preserve"> применения больших фундаментальных моделей искусственного интеллекта в целях повышения эффективности государственного и муниципального управления;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pStyle w:val="924"/>
        <w:ind w:firstLine="709"/>
        <w:jc w:val="both"/>
        <w:spacing w:after="0" w:line="240" w:lineRule="auto"/>
        <w:widowControl w:val="off"/>
        <w:tabs>
          <w:tab w:val="left" w:pos="2283" w:leader="none"/>
        </w:tabs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3) </w:t>
      </w:r>
      <w:r>
        <w:rPr>
          <w:rFonts w:ascii="Times New Roman" w:hAnsi="Times New Roman"/>
          <w:sz w:val="27"/>
          <w:szCs w:val="27"/>
          <w:highlight w:val="white"/>
        </w:rPr>
        <w:t xml:space="preserve"> </w:t>
      </w:r>
      <w:r>
        <w:rPr>
          <w:rFonts w:ascii="Times New Roman" w:hAnsi="Times New Roman"/>
          <w:sz w:val="27"/>
          <w:szCs w:val="27"/>
          <w:highlight w:val="white"/>
        </w:rPr>
        <w:t xml:space="preserve">вырабатывает меры стимулирования</w:t>
      </w:r>
      <w:r>
        <w:rPr>
          <w:rFonts w:ascii="Times New Roman" w:hAnsi="Times New Roman"/>
          <w:sz w:val="27"/>
          <w:szCs w:val="27"/>
          <w:highlight w:val="white"/>
        </w:rPr>
        <w:t xml:space="preserve"> </w:t>
      </w:r>
      <w:r>
        <w:rPr>
          <w:rFonts w:ascii="Times New Roman" w:hAnsi="Times New Roman"/>
          <w:bCs/>
          <w:sz w:val="27"/>
          <w:szCs w:val="27"/>
          <w:highlight w:val="white"/>
        </w:rPr>
        <w:t xml:space="preserve">разработки, внедрения и</w:t>
      </w:r>
      <w:r>
        <w:rPr>
          <w:rFonts w:ascii="Times New Roman" w:hAnsi="Times New Roman"/>
          <w:sz w:val="27"/>
          <w:szCs w:val="27"/>
          <w:highlight w:val="white"/>
        </w:rPr>
        <w:t xml:space="preserve"> применения больших фундаментальных моделей искусственного интеллекта.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auto"/>
          <w:sz w:val="27"/>
          <w:szCs w:val="27"/>
          <w:highlight w:val="white"/>
          <w:lang w:eastAsia="en-US"/>
        </w:rPr>
        <w:t xml:space="preserve">Таким образом, внедрение искусственного интеллекта в регионе позволит решить ряд задач в различных сферах, что приведет к эффективности работы, улучшению качества жизни граждан и достижению стратегических целей разви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auto"/>
          <w:sz w:val="27"/>
          <w:szCs w:val="27"/>
          <w:highlight w:val="white"/>
          <w:lang w:eastAsia="en-US"/>
        </w:rPr>
        <w:t xml:space="preserve">тия.</w:t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По пунктам 2.8.1, 2.8.3, 3.8.3 Положения.</w:t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7"/>
          <w:szCs w:val="27"/>
          <w:highlight w:val="white"/>
        </w:rPr>
        <w:t xml:space="preserve">Согласно стат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ье 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Федеральн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ого закона от 17.07.1999 №176-ФЗ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 почтовой связи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рганы государственной власти субъектов Российской Федерации осуществляют: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участие в развитии и расширении сети почтовой связи, а также согласование режима работы объектов почтовой связи организаций федеральной почтовой связи на территориях соответствующих субъектов Российской Федерации;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содействие операторам почтовой связи в расширении сферы услуг, предоставляемых гражданам и юридическим лицам;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внесение в федеральный орган исполнительной власти, осуществляющий управление деятельностью в области почтовой связи, предложений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 совершенствовании и развитии сети почтовой связи на территориях соответствующих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субъектов Российской Федерации.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ункты 3.1.13 и 3.1.14 Положения.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 соответствии с внесением изменений от 22.01.2025 №1-пг-дсп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 постановление Губернатора Ленинградской области от 30.09.2019 №67-пг соответствующие изменения в части наименование Ситуационного центра Губернатора Ленинградской области вносятся в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ункты 3.1.13 и 3.1.14 Положения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Пункт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3.3.5 Положения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целях реализации Федерального закона от 08.06.2020 №168-ФЗ «О едином федеральном информационном регистре, содержащем сведения о населении Российской Федерации» (далее – федеральный закон) внесены изменения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п. 3.3.5 Положения. 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Целью формирования и ведения федерального регистра сведений о населении является создание системы учета сведений о населении Российской Федерации, обеспечивающей их актуальность и достоверность.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Согласно пункту 2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их предоставления, </w:t>
        <w:br/>
        <w:t xml:space="preserve">и перечня обезличенных персональных данных, содержащихся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едином федеральном информационном регистре, содержащем сведения о населении Российской Федерации, утвержденных постановлением Правительства Российской Федерации от 09.10.2021 </w:t>
        <w:br/>
        <w:t xml:space="preserve">№ 1723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, сведения, содержащиеся в федеральном регистре сведений о населении, предоставляются органам, организациям и лицам, указанным в пунктах 1 - 6 части 1 статьи 11 федерального закона, для целей, указанных в пунктах 1 - 8 части 2 статьи 4 федерального закона.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пунктам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3.6.1 – 3.6.6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Положения.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Согласно п. 1 Перечня утративших силу актов и отдельных положений актов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Правительства Российской Федерации, утвержденного постановлением Правительства Российской Федерации от 01.07.2024 № 900 «О порядке учета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ИТ-активов, используемых для осуществления деятельности по цифровой трансформации системы государственного (муниципального) управления», подпункт «а» пункта 2 </w:t>
        <w:br/>
        <w:t xml:space="preserve">постановления Правительства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от 25.04.2012 № 394 «О мерах </w:t>
        <w:br/>
        <w:t xml:space="preserve">по совершенствованию использования информационно-коммуникационных технологий в деятельности государственных органов»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утратил силу, в целях реализации которого Министерству связи и массовых коммуникаций Российской Федерации необходимо было утвердить методические рекомендации по организации системы проектного управления мероприятиями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информатизации в государственных органах.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Пункт 3.6.8.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Положения.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С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огласно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постановлени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ю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Правительства Ленинградской области от 20.06.2019 </w:t>
        <w:br/>
        <w:t xml:space="preserve">№ 287 «Об утверждении Порядка взаимодействия органов исполнительной власти Ленинградской области при создании, модернизации и развитии государственных информационных систем Ленинградской области»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Комитет уполномочен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br/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на организацию и координацию работы Экспертной комиссии по рассмотрению заявок на создание, модернизацию и развитие государственных информационных систем Ленинградской области.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пункту 3.7.12.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Положения.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соответствии с п. 6 ст. 6 Федерального закона от 07.07.2003 №126-ФЗ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br/>
        <w:t xml:space="preserve">«О связи» размещение оператором связи сетей связи на объектах общего имущества </w:t>
        <w:br/>
        <w:t xml:space="preserve">в многоквартирном доме для оказания услуг связи по передаче данных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 предоставлению доступа к информационно-телекоммуникационной сети «Интернет» абоненту - физическому лицу осуществляется без взимания платы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за пользование объектами общего имущества в многоквартирном доме, за доступ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 сетям связи </w:t>
        <w:br/>
        <w:t xml:space="preserve">в соответствии с частью 4.2 статьи 36 Жилищного кодекса Российской Федерации </w:t>
        <w:br/>
        <w:t xml:space="preserve">в целях реализации прав граждан на доступ к информации, в том числе информации </w:t>
        <w:br/>
        <w:t xml:space="preserve">о деятел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ности государственных органов и органов местного самоуправления, </w:t>
        <w:br/>
        <w:t xml:space="preserve">на доступ к государственным информационным системам, а также для предоставления абоненту - физическому лицу услуг связи, предусмотренных пунктом 5.3 статьи 46 настоящего Федерального закона.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По пункту 3.9.2 Положения.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Федеральным законом от 13.07.2015 № 215-ФЗ </w:t>
        <w:br/>
        <w:t xml:space="preserve">«О Государственной корпорации по космической деятельности «Роскосмос» 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Указом Президента Российской Федерации от 28.12.2015 № 666 «Об упразднении Федерального космического агентства» 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оздана Государственная корпорация по космической деятельности «Роскосмос»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</w:r>
      <w:hyperlink r:id="rId18" w:tooltip="https://cons-kcr.lenreg.ru/cgi/online.cgi?req=doc&amp;base=LAW&amp;n=298035&amp;dst=100007&amp;field=134&amp;date=20.07.2026" w:history="1">
        <w:r>
          <w:rPr>
            <w:rStyle w:val="980"/>
            <w:rFonts w:ascii="Times New Roman" w:hAnsi="Times New Roman" w:eastAsia="Times New Roman" w:cs="Times New Roman"/>
            <w:b w:val="0"/>
            <w:bCs w:val="0"/>
            <w:i w:val="0"/>
            <w:iCs w:val="0"/>
            <w:color w:val="000000" w:themeColor="text1"/>
            <w:sz w:val="27"/>
            <w:szCs w:val="27"/>
            <w:highlight w:val="white"/>
            <w:u w:val="none"/>
          </w:rPr>
          <w:t xml:space="preserve">упразднено</w:t>
        </w:r>
      </w:hyperlink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7"/>
          <w:szCs w:val="27"/>
          <w:highlight w:val="white"/>
        </w:rPr>
        <w:t xml:space="preserve">Федеральное космическое агентство.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пункт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3.15.2.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Положения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Согласно п. 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ст. 2 Федерального закона от 06.04.2011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63-ФЗ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Об электронной подписи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удостовер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яющий центр -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 настоящим Федеральным законом.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настоящий момент Комитет 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  <w:shd w:val="clear" w:color="auto" w:fill="ffffff"/>
        </w:rPr>
        <w:t xml:space="preserve">г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  <w:shd w:val="clear" w:color="auto" w:fill="ffffff"/>
        </w:rPr>
        <w:t xml:space="preserve">осударственное казенное учреждение Ленинградской области «Оператор «электронного правительства»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организуют взаимодействие с уполномоченным удостоверяющим центром Ленинградской области по вопросам обеспечения органов исполнительной власти Ленинградской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области и органов местного самоуправления Ленинградской области электронными подписями.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ункт 3.15.5 Положения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В соответствие с внесенными изменениями ст. 2,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абз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7"/>
          <w:szCs w:val="27"/>
          <w:highlight w:val="white"/>
          <w:lang w:eastAsia="en-US"/>
        </w:rPr>
        <w:t xml:space="preserve">. 6 п. 1 ст. 8 Федерального закона от 12.02.1998 № 28-ФЗ «О гражданской обороне» соответствующие изменения вносятся в пункт 3.15.5 Положения.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 пункту 4.8 Положения.</w:t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color w:val="auto" w:themeColor="text1"/>
          <w:sz w:val="27"/>
          <w:szCs w:val="27"/>
          <w:highlight w:val="white"/>
        </w:rPr>
      </w:r>
    </w:p>
    <w:p>
      <w:pPr>
        <w:ind w:right="-1" w:firstLine="709"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соответствии с распоряжением Губернатора Ленин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адской области </w:t>
        <w:br/>
        <w:t xml:space="preserve">от 03.08.2026 №459-р создана автономная некоммерческая организация «Центр цифровых компетенций «Школа 21 Ленинградской области», учредителем которой </w:t>
        <w:br/>
        <w:t xml:space="preserve">от имени Ленинградской области выступает комитет цифрового развития Ленинградской области.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pStyle w:val="976"/>
        <w:ind w:left="0" w:right="14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Утверждение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оряд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ка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координации мероприятий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 использованию информационно-коммуникационных технологий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в деятельности органов исполнительной власти Ленинградской области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Порядка взаимодействия органов исполнительной власти 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Ленинградской области при создании, модернизации, развитии,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none"/>
        </w:rPr>
        <w:t xml:space="preserve"> обеспечении функционирования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 и выводе из эксплуатации государственных информационн</w:t>
      </w:r>
      <w:r>
        <w:rPr>
          <w:rFonts w:ascii="Times New Roman" w:hAnsi="Times New Roman" w:eastAsia="Times New Roman" w:cs="Times New Roman" w:eastAsiaTheme="minorEastAsia"/>
          <w:b w:val="0"/>
          <w:bCs w:val="0"/>
          <w:color w:val="000000" w:themeColor="text1"/>
          <w:sz w:val="27"/>
          <w:szCs w:val="27"/>
          <w:highlight w:val="white"/>
        </w:rPr>
        <w:t xml:space="preserve">ых систем Ленинградской области обусловлено в том числе в рамках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определения порядка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</w:rPr>
        <w:t xml:space="preserve">перераспределения н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</w:rPr>
        <w:t xml:space="preserve">еиспользованных остатков бюджетных средств</w:t>
      </w:r>
      <w:r>
        <w:rPr>
          <w:rFonts w:ascii="Times New Roman" w:hAnsi="Times New Roman" w:eastAsia="Times New Roman" w:cs="Times New Roman"/>
          <w:b w:val="0"/>
          <w:bCs w:val="0"/>
          <w:sz w:val="27"/>
          <w:szCs w:val="27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pStyle w:val="976"/>
        <w:ind w:left="0"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связи с вступлением в силу </w:t>
      </w:r>
      <w:hyperlink r:id="rId19" w:tooltip="https://cons-kcr.lenreg.ru/cgi/online.cgi?req=doc&amp;base=LAW&amp;n=522982&amp;dst=100259&amp;field=134&amp;date=05.05.2026" w:history="1">
        <w:r>
          <w:rPr>
            <w:rStyle w:val="980"/>
            <w:rFonts w:ascii="Times New Roman" w:hAnsi="Times New Roman" w:eastAsia="Times New Roman" w:cs="Times New Roman"/>
            <w:b w:val="0"/>
            <w:bCs w:val="0"/>
            <w:color w:val="000000" w:themeColor="text1"/>
            <w:sz w:val="27"/>
            <w:szCs w:val="27"/>
            <w:highlight w:val="white"/>
            <w:u w:val="none"/>
          </w:rPr>
          <w:t xml:space="preserve">Постановления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Правительства Российской Федерации от 10.10.2020 № 1646 «О мерах по обеспечени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эффективности мероприятий по использованию информационно-коммуникационных технологий, финансовое обеспечение которых осуществляется (планируется осуществлять) за счет средств федерального бюджета и бюджетов государственных внебюджетных фондов» </w:t>
        <w:br/>
        <w:t xml:space="preserve">(вместе 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Положением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 формировании и ведении реестра ИТ-расходов на создание, развитие, ввод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эксплуатацию, эксплуатацию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 вывод из эксплуатации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ИТ-активов, финансовое обеспечение которых осуществляется (планируется осуществлять) </w:t>
        <w:br/>
        <w:t xml:space="preserve">за счет средств федерального бюджета и бюджетов государственных внебюджетных фондов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Положением о ведомственных программах цифровой трансформации»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Постановление Правительства Российской Федерации от 24.05.2010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365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О координации мероприятий по использованию информационно-коммуникационных технологий </w:t>
        <w:br/>
        <w:t xml:space="preserve">в деятельности государственных органов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 (вместе 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Положением о координации мероприятий по использованию информационно-коммуникационных технологий </w:t>
        <w:br/>
        <w:t xml:space="preserve">в деятельности государственных органов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Правилами подготовки планов информатизации государственных органов и отчетов об их выполнении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» утратило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7"/>
          <w:szCs w:val="27"/>
          <w:highlight w:val="white"/>
        </w:rPr>
        <w:t xml:space="preserve">силу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(Собрание законодательства Российской Федерации, 2010,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22, ст. 2778).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pStyle w:val="976"/>
        <w:ind w:left="0"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Таким образом, на федеральном уровне отсутствуют нормативные правовые акты, обязывающие осуществлять подготовку и ведение планов информатизации.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ind w:left="0" w:right="-1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Принятие Проекта повлечет внесени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изменений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распоряжение Правительства Ленинградской об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ласти от 6 сентября 2011 года 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458-р «О создании государственного казенного учреждения Ленинградской области «Оператор «электронного правительства»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, п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остановление Губернатора Ленинградской области от 13.02.2018 </w:t>
        <w:br/>
        <w:t xml:space="preserve">№ 4-пг «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Об утверждении Инструкции по делопроизводству в органах исполнительной власти Ленинградской области»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</w:r>
    </w:p>
    <w:p>
      <w:pPr>
        <w:ind w:left="0" w:right="-1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Также Комитетом запущен проект распоряжения Правительства Ленинградской области «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f1115"/>
          <w:sz w:val="27"/>
          <w:szCs w:val="27"/>
        </w:rPr>
        <w:t xml:space="preserve">Об актуализации состава информационных систем Ленинградской области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»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согл-220756662-13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),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а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м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а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х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г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д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м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р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н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ы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в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д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з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э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к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л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а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а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ц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л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д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у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ю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щ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х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о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д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с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т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е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м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: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sz w:val="27"/>
          <w:szCs w:val="27"/>
          <w:highlight w:val="none"/>
        </w:rPr>
        <w:t xml:space="preserve">«Подготовка ПИ», «Реализации бизнес процессов» </w:t>
        <w:br/>
        <w:t xml:space="preserve">(</w:t>
      </w:r>
      <w:r>
        <w:rPr>
          <w:sz w:val="27"/>
          <w:szCs w:val="27"/>
          <w:highlight w:val="none"/>
        </w:rPr>
        <w:t xml:space="preserve">Модуль формирования планов информатизации</w:t>
      </w:r>
      <w:r>
        <w:rPr>
          <w:sz w:val="27"/>
          <w:szCs w:val="27"/>
          <w:highlight w:val="none"/>
        </w:rPr>
        <w:t xml:space="preserve">, </w:t>
      </w:r>
      <w:r>
        <w:rPr>
          <w:sz w:val="27"/>
          <w:szCs w:val="27"/>
          <w:highlight w:val="none"/>
        </w:rPr>
        <w:t xml:space="preserve">Модуль «Фактическое исполнение планов информатизации»</w:t>
      </w:r>
      <w:r>
        <w:rPr>
          <w:sz w:val="27"/>
          <w:szCs w:val="27"/>
          <w:highlight w:val="none"/>
        </w:rPr>
        <w:t xml:space="preserve">, </w:t>
      </w:r>
      <w:r>
        <w:rPr>
          <w:sz w:val="27"/>
          <w:szCs w:val="27"/>
          <w:highlight w:val="none"/>
        </w:rPr>
        <w:t xml:space="preserve">Модуль формирования мероприятий, заявок, заявок </w:t>
        <w:br/>
        <w:t xml:space="preserve">на материально-техническое обеспечение), </w:t>
      </w:r>
      <w:r>
        <w:rPr>
          <w:sz w:val="27"/>
          <w:szCs w:val="27"/>
          <w:highlight w:val="none"/>
        </w:rPr>
        <w:t xml:space="preserve">«Согласование ТЗ»,</w:t>
      </w:r>
      <w:r>
        <w:rPr>
          <w:sz w:val="27"/>
          <w:szCs w:val="27"/>
          <w:highlight w:val="none"/>
        </w:rPr>
        <w:t xml:space="preserve"> «Госконтракты»,</w:t>
      </w:r>
      <w:r>
        <w:rPr>
          <w:sz w:val="27"/>
          <w:szCs w:val="27"/>
          <w:highlight w:val="none"/>
        </w:rPr>
        <w:t xml:space="preserve"> «Поиск»,</w:t>
      </w:r>
      <w:r>
        <w:rPr>
          <w:sz w:val="27"/>
          <w:szCs w:val="27"/>
          <w:highlight w:val="none"/>
        </w:rPr>
        <w:t xml:space="preserve"> «Личный кабинет»,</w:t>
      </w:r>
      <w:r>
        <w:rPr>
          <w:sz w:val="27"/>
          <w:szCs w:val="27"/>
          <w:highlight w:val="none"/>
        </w:rPr>
        <w:t xml:space="preserve"> «Отчеты», </w:t>
      </w:r>
      <w:r>
        <w:rPr>
          <w:sz w:val="27"/>
          <w:szCs w:val="27"/>
          <w:highlight w:val="none"/>
        </w:rPr>
        <w:t xml:space="preserve">«Справочники»,</w:t>
      </w:r>
      <w:r>
        <w:rPr>
          <w:sz w:val="27"/>
          <w:szCs w:val="27"/>
          <w:highlight w:val="none"/>
        </w:rPr>
        <w:t xml:space="preserve"> «Печатные формы»,</w:t>
      </w:r>
      <w:r>
        <w:rPr>
          <w:sz w:val="27"/>
          <w:szCs w:val="27"/>
          <w:highlight w:val="none"/>
        </w:rPr>
        <w:t xml:space="preserve"> «Электронная подпись»,</w:t>
      </w:r>
      <w:r>
        <w:rPr>
          <w:sz w:val="27"/>
          <w:szCs w:val="27"/>
          <w:highlight w:val="none"/>
        </w:rPr>
        <w:t xml:space="preserve"> «Бюджет»</w:t>
      </w:r>
      <w:r>
        <w:rPr>
          <w:sz w:val="27"/>
          <w:szCs w:val="27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7"/>
          <w:szCs w:val="27"/>
          <w:highlight w:val="white"/>
        </w:rPr>
      </w:r>
    </w:p>
    <w:p>
      <w:pPr>
        <w:pStyle w:val="976"/>
        <w:ind w:left="0" w:right="-1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Проект не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подлежит оценке регулирующего воздействия, так как не содержит положений, вводящих избыточные обязанности, запреты и ограничения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для субъектов предпринимательской и инвестиционной деятельности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или способствующих </w:t>
        <w:br/>
        <w:t xml:space="preserve">их введению, а также положений, способствующих возникновению необоснованных расходов субъектов предпринимательской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white"/>
        </w:rPr>
        <w:t xml:space="preserve">и инвестиционной деятельности и областного бюджета Ленинградской области.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p>
      <w:pPr>
        <w:ind w:right="-1" w:firstLine="0"/>
        <w:jc w:val="both"/>
        <w:rPr>
          <w:rFonts w:ascii="Times New Roman" w:hAnsi="Times New Roman" w:cs="Times New Roman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7"/>
          <w:szCs w:val="27"/>
          <w:highlight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  <w:highlight w:val="white"/>
        </w:rPr>
      </w:r>
    </w:p>
    <w:p>
      <w:pPr>
        <w:pStyle w:val="970"/>
        <w:contextualSpacing/>
        <w:ind w:left="709" w:right="334" w:firstLine="0"/>
        <w:jc w:val="both"/>
        <w:spacing w:before="220" w:line="276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  <w:highlight w:val="white"/>
        </w:rPr>
      </w:r>
    </w:p>
    <w:sectPr>
      <w:footnotePr/>
      <w:endnotePr/>
      <w:type w:val="nextPage"/>
      <w:pgSz w:w="11905" w:h="16837" w:orient="portrait"/>
      <w:pgMar w:top="1134" w:right="567" w:bottom="1134" w:left="1134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Microsoft Sans Serif">
    <w:panose1 w:val="020B0604020202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41387478"/>
      <w:docPartObj>
        <w:docPartGallery w:val="Page Numbers (Top of Page)"/>
        <w:docPartUnique w:val="true"/>
      </w:docPartObj>
      <w:rPr/>
    </w:sdtPr>
    <w:sdtContent>
      <w:p>
        <w:pPr>
          <w:pStyle w:val="96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10</w:t>
        </w:r>
        <w:r>
          <w:fldChar w:fldCharType="end"/>
        </w:r>
        <w:r/>
      </w:p>
    </w:sdtContent>
  </w:sdt>
  <w:p>
    <w:pPr>
      <w:pStyle w:val="96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 w:ascii="Calibri" w:hAnsi="Calibri" w:cs="Calibri"/>
      </w:rPr>
    </w:lvl>
    <w:lvl w:ilvl="1">
      <w:start w:val="1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Calibri" w:hAnsi="Calibri" w:cs="Calibri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 w:ascii="Calibri" w:hAnsi="Calibri" w:cs="Calibri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 w:ascii="Calibri" w:hAnsi="Calibri" w:cs="Calibri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 w:ascii="Calibri" w:hAnsi="Calibri" w:cs="Calibri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 w:ascii="Calibri" w:hAnsi="Calibri" w:cs="Calibri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 w:ascii="Calibri" w:hAnsi="Calibri" w:cs="Calibri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 w:ascii="Calibri" w:hAnsi="Calibri" w:cs="Calibri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4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4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212" w:hanging="360"/>
      </w:pPr>
      <w:rPr>
        <w:color w:val="000000"/>
      </w:rPr>
    </w:lvl>
    <w:lvl w:ilvl="1">
      <w:start w:val="1"/>
      <w:numFmt w:val="decimal"/>
      <w:isLgl w:val="false"/>
      <w:suff w:val="tab"/>
      <w:lvlText w:val="%1.%2"/>
      <w:lvlJc w:val="left"/>
      <w:pPr>
        <w:ind w:left="792" w:hanging="432"/>
      </w:pPr>
      <w:rPr>
        <w:b/>
        <w:strike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2"/>
  </w:num>
  <w:num w:numId="3">
    <w:abstractNumId w:val="12"/>
  </w:num>
  <w:num w:numId="4">
    <w:abstractNumId w:val="19"/>
  </w:num>
  <w:num w:numId="5">
    <w:abstractNumId w:val="7"/>
  </w:num>
  <w:num w:numId="6">
    <w:abstractNumId w:val="20"/>
  </w:num>
  <w:num w:numId="7">
    <w:abstractNumId w:val="15"/>
  </w:num>
  <w:num w:numId="8">
    <w:abstractNumId w:val="0"/>
  </w:num>
  <w:num w:numId="9">
    <w:abstractNumId w:val="1"/>
  </w:num>
  <w:num w:numId="10">
    <w:abstractNumId w:val="8"/>
  </w:num>
  <w:num w:numId="11">
    <w:abstractNumId w:val="5"/>
  </w:num>
  <w:num w:numId="12">
    <w:abstractNumId w:val="10"/>
  </w:num>
  <w:num w:numId="13">
    <w:abstractNumId w:val="11"/>
  </w:num>
  <w:num w:numId="14">
    <w:abstractNumId w:val="13"/>
  </w:num>
  <w:num w:numId="15">
    <w:abstractNumId w:val="17"/>
  </w:num>
  <w:num w:numId="16">
    <w:abstractNumId w:val="16"/>
  </w:num>
  <w:num w:numId="17">
    <w:abstractNumId w:val="3"/>
  </w:num>
  <w:num w:numId="18">
    <w:abstractNumId w:val="6"/>
  </w:num>
  <w:num w:numId="19">
    <w:abstractNumId w:val="9"/>
  </w:num>
  <w:num w:numId="20">
    <w:abstractNumId w:val="14"/>
  </w:num>
  <w:num w:numId="21">
    <w:abstractNumId w:val="4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1">
    <w:name w:val="Heading 1"/>
    <w:basedOn w:val="924"/>
    <w:next w:val="924"/>
    <w:link w:val="75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2">
    <w:name w:val="Heading 1 Char"/>
    <w:basedOn w:val="925"/>
    <w:link w:val="751"/>
    <w:uiPriority w:val="9"/>
    <w:rPr>
      <w:rFonts w:ascii="Arial" w:hAnsi="Arial" w:eastAsia="Arial" w:cs="Arial"/>
      <w:sz w:val="40"/>
      <w:szCs w:val="40"/>
    </w:rPr>
  </w:style>
  <w:style w:type="paragraph" w:styleId="753">
    <w:name w:val="Heading 2"/>
    <w:basedOn w:val="924"/>
    <w:next w:val="924"/>
    <w:link w:val="7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4">
    <w:name w:val="Heading 2 Char"/>
    <w:basedOn w:val="925"/>
    <w:link w:val="753"/>
    <w:uiPriority w:val="9"/>
    <w:rPr>
      <w:rFonts w:ascii="Arial" w:hAnsi="Arial" w:eastAsia="Arial" w:cs="Arial"/>
      <w:sz w:val="34"/>
    </w:rPr>
  </w:style>
  <w:style w:type="paragraph" w:styleId="755">
    <w:name w:val="Heading 3"/>
    <w:basedOn w:val="924"/>
    <w:next w:val="924"/>
    <w:link w:val="75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6">
    <w:name w:val="Heading 3 Char"/>
    <w:basedOn w:val="925"/>
    <w:link w:val="755"/>
    <w:uiPriority w:val="9"/>
    <w:rPr>
      <w:rFonts w:ascii="Arial" w:hAnsi="Arial" w:eastAsia="Arial" w:cs="Arial"/>
      <w:sz w:val="30"/>
      <w:szCs w:val="30"/>
    </w:rPr>
  </w:style>
  <w:style w:type="paragraph" w:styleId="757">
    <w:name w:val="Heading 4"/>
    <w:basedOn w:val="924"/>
    <w:next w:val="924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8">
    <w:name w:val="Heading 4 Char"/>
    <w:basedOn w:val="925"/>
    <w:link w:val="757"/>
    <w:uiPriority w:val="9"/>
    <w:rPr>
      <w:rFonts w:ascii="Arial" w:hAnsi="Arial" w:eastAsia="Arial" w:cs="Arial"/>
      <w:b/>
      <w:bCs/>
      <w:sz w:val="26"/>
      <w:szCs w:val="26"/>
    </w:rPr>
  </w:style>
  <w:style w:type="paragraph" w:styleId="759">
    <w:name w:val="Heading 5"/>
    <w:basedOn w:val="924"/>
    <w:next w:val="924"/>
    <w:link w:val="76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0">
    <w:name w:val="Heading 5 Char"/>
    <w:basedOn w:val="925"/>
    <w:link w:val="759"/>
    <w:uiPriority w:val="9"/>
    <w:rPr>
      <w:rFonts w:ascii="Arial" w:hAnsi="Arial" w:eastAsia="Arial" w:cs="Arial"/>
      <w:b/>
      <w:bCs/>
      <w:sz w:val="24"/>
      <w:szCs w:val="24"/>
    </w:rPr>
  </w:style>
  <w:style w:type="paragraph" w:styleId="761">
    <w:name w:val="Heading 6"/>
    <w:basedOn w:val="924"/>
    <w:next w:val="924"/>
    <w:link w:val="76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2">
    <w:name w:val="Heading 6 Char"/>
    <w:basedOn w:val="925"/>
    <w:link w:val="761"/>
    <w:uiPriority w:val="9"/>
    <w:rPr>
      <w:rFonts w:ascii="Arial" w:hAnsi="Arial" w:eastAsia="Arial" w:cs="Arial"/>
      <w:b/>
      <w:bCs/>
      <w:sz w:val="22"/>
      <w:szCs w:val="22"/>
    </w:rPr>
  </w:style>
  <w:style w:type="paragraph" w:styleId="763">
    <w:name w:val="Heading 7"/>
    <w:basedOn w:val="924"/>
    <w:next w:val="924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4">
    <w:name w:val="Heading 7 Char"/>
    <w:basedOn w:val="925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5">
    <w:name w:val="Heading 8"/>
    <w:basedOn w:val="924"/>
    <w:next w:val="924"/>
    <w:link w:val="7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6">
    <w:name w:val="Heading 8 Char"/>
    <w:basedOn w:val="925"/>
    <w:link w:val="765"/>
    <w:uiPriority w:val="9"/>
    <w:rPr>
      <w:rFonts w:ascii="Arial" w:hAnsi="Arial" w:eastAsia="Arial" w:cs="Arial"/>
      <w:i/>
      <w:iCs/>
      <w:sz w:val="22"/>
      <w:szCs w:val="22"/>
    </w:rPr>
  </w:style>
  <w:style w:type="paragraph" w:styleId="767">
    <w:name w:val="Heading 9"/>
    <w:basedOn w:val="924"/>
    <w:next w:val="924"/>
    <w:link w:val="76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8">
    <w:name w:val="Heading 9 Char"/>
    <w:basedOn w:val="925"/>
    <w:link w:val="767"/>
    <w:uiPriority w:val="9"/>
    <w:rPr>
      <w:rFonts w:ascii="Arial" w:hAnsi="Arial" w:eastAsia="Arial" w:cs="Arial"/>
      <w:i/>
      <w:iCs/>
      <w:sz w:val="21"/>
      <w:szCs w:val="21"/>
    </w:rPr>
  </w:style>
  <w:style w:type="paragraph" w:styleId="769">
    <w:name w:val="No Spacing"/>
    <w:uiPriority w:val="1"/>
    <w:qFormat/>
    <w:pPr>
      <w:spacing w:before="0" w:after="0" w:line="240" w:lineRule="auto"/>
    </w:pPr>
  </w:style>
  <w:style w:type="paragraph" w:styleId="770">
    <w:name w:val="Title"/>
    <w:basedOn w:val="924"/>
    <w:next w:val="924"/>
    <w:link w:val="77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1">
    <w:name w:val="Title Char"/>
    <w:basedOn w:val="925"/>
    <w:link w:val="770"/>
    <w:uiPriority w:val="10"/>
    <w:rPr>
      <w:sz w:val="48"/>
      <w:szCs w:val="48"/>
    </w:rPr>
  </w:style>
  <w:style w:type="paragraph" w:styleId="772">
    <w:name w:val="Subtitle"/>
    <w:basedOn w:val="924"/>
    <w:next w:val="924"/>
    <w:link w:val="773"/>
    <w:uiPriority w:val="11"/>
    <w:qFormat/>
    <w:pPr>
      <w:spacing w:before="200" w:after="200"/>
    </w:pPr>
    <w:rPr>
      <w:sz w:val="24"/>
      <w:szCs w:val="24"/>
    </w:rPr>
  </w:style>
  <w:style w:type="character" w:styleId="773">
    <w:name w:val="Subtitle Char"/>
    <w:basedOn w:val="925"/>
    <w:link w:val="772"/>
    <w:uiPriority w:val="11"/>
    <w:rPr>
      <w:sz w:val="24"/>
      <w:szCs w:val="24"/>
    </w:rPr>
  </w:style>
  <w:style w:type="paragraph" w:styleId="774">
    <w:name w:val="Quote"/>
    <w:basedOn w:val="924"/>
    <w:next w:val="924"/>
    <w:link w:val="775"/>
    <w:uiPriority w:val="29"/>
    <w:qFormat/>
    <w:pPr>
      <w:ind w:left="720" w:right="720"/>
    </w:pPr>
    <w:rPr>
      <w:i/>
    </w:rPr>
  </w:style>
  <w:style w:type="character" w:styleId="775">
    <w:name w:val="Quote Char"/>
    <w:link w:val="774"/>
    <w:uiPriority w:val="29"/>
    <w:rPr>
      <w:i/>
    </w:rPr>
  </w:style>
  <w:style w:type="paragraph" w:styleId="776">
    <w:name w:val="Intense Quote"/>
    <w:basedOn w:val="924"/>
    <w:next w:val="924"/>
    <w:link w:val="7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7">
    <w:name w:val="Intense Quote Char"/>
    <w:link w:val="776"/>
    <w:uiPriority w:val="30"/>
    <w:rPr>
      <w:i/>
    </w:rPr>
  </w:style>
  <w:style w:type="character" w:styleId="778">
    <w:name w:val="Header Char"/>
    <w:basedOn w:val="925"/>
    <w:link w:val="962"/>
    <w:uiPriority w:val="99"/>
  </w:style>
  <w:style w:type="character" w:styleId="779">
    <w:name w:val="Footer Char"/>
    <w:basedOn w:val="925"/>
    <w:link w:val="964"/>
    <w:uiPriority w:val="99"/>
  </w:style>
  <w:style w:type="paragraph" w:styleId="780">
    <w:name w:val="Caption"/>
    <w:basedOn w:val="924"/>
    <w:next w:val="924"/>
    <w:link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1">
    <w:name w:val="Caption Char"/>
    <w:basedOn w:val="925"/>
    <w:link w:val="780"/>
    <w:uiPriority w:val="35"/>
    <w:rPr>
      <w:b/>
      <w:bCs/>
      <w:color w:val="4f81bd" w:themeColor="accent1"/>
      <w:sz w:val="18"/>
      <w:szCs w:val="18"/>
    </w:rPr>
  </w:style>
  <w:style w:type="table" w:styleId="782">
    <w:name w:val="Table Grid Light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Plain Table 1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2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6">
    <w:name w:val="Plain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Plain Table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8">
    <w:name w:val="Grid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0">
    <w:name w:val="Grid Table 4 - Accent 1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1">
    <w:name w:val="Grid Table 4 - Accent 2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Grid Table 4 - Accent 3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3">
    <w:name w:val="Grid Table 4 - Accent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Grid Table 4 - Accent 5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5">
    <w:name w:val="Grid Table 4 - Accent 6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6">
    <w:name w:val="Grid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7">
    <w:name w:val="Grid Table 5 Dark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0">
    <w:name w:val="Grid Table 5 Dark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3">
    <w:name w:val="Grid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4">
    <w:name w:val="Grid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5">
    <w:name w:val="Grid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6">
    <w:name w:val="Grid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7">
    <w:name w:val="Grid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8">
    <w:name w:val="Grid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0">
    <w:name w:val="Grid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5">
    <w:name w:val="List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6">
    <w:name w:val="List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7">
    <w:name w:val="List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8">
    <w:name w:val="List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9">
    <w:name w:val="List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0">
    <w:name w:val="List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1">
    <w:name w:val="List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3">
    <w:name w:val="List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4">
    <w:name w:val="List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5">
    <w:name w:val="List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6">
    <w:name w:val="List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7">
    <w:name w:val="List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8">
    <w:name w:val="List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9">
    <w:name w:val="List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0">
    <w:name w:val="List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1">
    <w:name w:val="List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2">
    <w:name w:val="List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3">
    <w:name w:val="List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4">
    <w:name w:val="List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5">
    <w:name w:val="List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6">
    <w:name w:val="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7">
    <w:name w:val="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8">
    <w:name w:val="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9">
    <w:name w:val="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0">
    <w:name w:val="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1">
    <w:name w:val="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2">
    <w:name w:val="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3">
    <w:name w:val="Bordered &amp; 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Bordered &amp; 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5">
    <w:name w:val="Bordered &amp; 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6">
    <w:name w:val="Bordered &amp; 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7">
    <w:name w:val="Bordered &amp; 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8">
    <w:name w:val="Bordered &amp; 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9">
    <w:name w:val="Bordered &amp; 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0">
    <w:name w:val="Bordered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1">
    <w:name w:val="Bordered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2">
    <w:name w:val="Bordered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3">
    <w:name w:val="Bordered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4">
    <w:name w:val="Bordered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5">
    <w:name w:val="Bordered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6">
    <w:name w:val="Bordered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basedOn w:val="925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basedOn w:val="925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  <w:pPr>
      <w:widowControl w:val="off"/>
    </w:pPr>
    <w:rPr>
      <w:rFonts w:hAnsi="Times New Roman"/>
      <w:sz w:val="24"/>
      <w:szCs w:val="24"/>
    </w:rPr>
  </w:style>
  <w:style w:type="character" w:styleId="925" w:default="1">
    <w:name w:val="Default Paragraph Font"/>
    <w:uiPriority w:val="1"/>
    <w:semiHidden/>
    <w:unhideWhenUsed/>
  </w:style>
  <w:style w:type="table" w:styleId="9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7" w:default="1">
    <w:name w:val="No List"/>
    <w:uiPriority w:val="99"/>
    <w:semiHidden/>
    <w:unhideWhenUsed/>
  </w:style>
  <w:style w:type="paragraph" w:styleId="928" w:customStyle="1">
    <w:name w:val="Style1"/>
    <w:basedOn w:val="924"/>
    <w:uiPriority w:val="99"/>
    <w:pPr>
      <w:ind w:firstLine="566"/>
      <w:jc w:val="both"/>
      <w:spacing w:line="317" w:lineRule="exact"/>
    </w:pPr>
  </w:style>
  <w:style w:type="paragraph" w:styleId="929" w:customStyle="1">
    <w:name w:val="Style2"/>
    <w:basedOn w:val="924"/>
    <w:uiPriority w:val="99"/>
    <w:pPr>
      <w:jc w:val="both"/>
      <w:spacing w:line="326" w:lineRule="exact"/>
    </w:pPr>
  </w:style>
  <w:style w:type="paragraph" w:styleId="930" w:customStyle="1">
    <w:name w:val="Style3"/>
    <w:basedOn w:val="924"/>
    <w:uiPriority w:val="99"/>
    <w:pPr>
      <w:jc w:val="right"/>
    </w:pPr>
  </w:style>
  <w:style w:type="paragraph" w:styleId="931" w:customStyle="1">
    <w:name w:val="Style4"/>
    <w:basedOn w:val="924"/>
    <w:uiPriority w:val="99"/>
    <w:pPr>
      <w:ind w:firstLine="168"/>
      <w:spacing w:line="318" w:lineRule="exact"/>
    </w:pPr>
  </w:style>
  <w:style w:type="paragraph" w:styleId="932" w:customStyle="1">
    <w:name w:val="Style5"/>
    <w:basedOn w:val="924"/>
    <w:uiPriority w:val="99"/>
    <w:pPr>
      <w:ind w:firstLine="739"/>
      <w:jc w:val="both"/>
      <w:spacing w:line="323" w:lineRule="exact"/>
    </w:pPr>
  </w:style>
  <w:style w:type="paragraph" w:styleId="933" w:customStyle="1">
    <w:name w:val="Style6"/>
    <w:basedOn w:val="924"/>
    <w:uiPriority w:val="99"/>
    <w:pPr>
      <w:ind w:firstLine="1906"/>
      <w:spacing w:line="322" w:lineRule="exact"/>
    </w:pPr>
  </w:style>
  <w:style w:type="paragraph" w:styleId="934" w:customStyle="1">
    <w:name w:val="Style7"/>
    <w:basedOn w:val="924"/>
    <w:uiPriority w:val="99"/>
    <w:pPr>
      <w:jc w:val="both"/>
      <w:spacing w:line="269" w:lineRule="exact"/>
    </w:pPr>
  </w:style>
  <w:style w:type="paragraph" w:styleId="935" w:customStyle="1">
    <w:name w:val="Style8"/>
    <w:basedOn w:val="924"/>
    <w:uiPriority w:val="99"/>
    <w:pPr>
      <w:ind w:firstLine="701"/>
      <w:jc w:val="both"/>
      <w:spacing w:line="322" w:lineRule="exact"/>
    </w:pPr>
  </w:style>
  <w:style w:type="paragraph" w:styleId="936" w:customStyle="1">
    <w:name w:val="Style9"/>
    <w:basedOn w:val="924"/>
    <w:uiPriority w:val="99"/>
    <w:pPr>
      <w:ind w:firstLine="782"/>
      <w:jc w:val="both"/>
      <w:spacing w:line="320" w:lineRule="exact"/>
    </w:pPr>
  </w:style>
  <w:style w:type="paragraph" w:styleId="937" w:customStyle="1">
    <w:name w:val="Style10"/>
    <w:basedOn w:val="924"/>
    <w:pPr>
      <w:spacing w:line="206" w:lineRule="exact"/>
    </w:pPr>
  </w:style>
  <w:style w:type="paragraph" w:styleId="938" w:customStyle="1">
    <w:name w:val="Style11"/>
    <w:basedOn w:val="924"/>
    <w:uiPriority w:val="99"/>
  </w:style>
  <w:style w:type="paragraph" w:styleId="939" w:customStyle="1">
    <w:name w:val="Style12"/>
    <w:basedOn w:val="924"/>
    <w:uiPriority w:val="99"/>
    <w:pPr>
      <w:jc w:val="center"/>
      <w:spacing w:line="269" w:lineRule="exact"/>
    </w:pPr>
  </w:style>
  <w:style w:type="paragraph" w:styleId="940" w:customStyle="1">
    <w:name w:val="Style13"/>
    <w:basedOn w:val="924"/>
    <w:uiPriority w:val="99"/>
    <w:pPr>
      <w:spacing w:line="322" w:lineRule="exact"/>
    </w:pPr>
  </w:style>
  <w:style w:type="paragraph" w:styleId="941" w:customStyle="1">
    <w:name w:val="Style14"/>
    <w:basedOn w:val="924"/>
    <w:uiPriority w:val="99"/>
  </w:style>
  <w:style w:type="paragraph" w:styleId="942" w:customStyle="1">
    <w:name w:val="Style15"/>
    <w:basedOn w:val="924"/>
    <w:uiPriority w:val="99"/>
    <w:pPr>
      <w:jc w:val="center"/>
      <w:spacing w:line="322" w:lineRule="exact"/>
    </w:pPr>
  </w:style>
  <w:style w:type="paragraph" w:styleId="943" w:customStyle="1">
    <w:name w:val="Style16"/>
    <w:basedOn w:val="924"/>
    <w:uiPriority w:val="99"/>
  </w:style>
  <w:style w:type="paragraph" w:styleId="944" w:customStyle="1">
    <w:name w:val="Style17"/>
    <w:basedOn w:val="924"/>
    <w:uiPriority w:val="99"/>
    <w:pPr>
      <w:spacing w:line="206" w:lineRule="exact"/>
    </w:pPr>
  </w:style>
  <w:style w:type="paragraph" w:styleId="945" w:customStyle="1">
    <w:name w:val="Style18"/>
    <w:basedOn w:val="924"/>
    <w:uiPriority w:val="99"/>
  </w:style>
  <w:style w:type="paragraph" w:styleId="946" w:customStyle="1">
    <w:name w:val="Style19"/>
    <w:basedOn w:val="924"/>
    <w:uiPriority w:val="99"/>
    <w:pPr>
      <w:jc w:val="both"/>
      <w:spacing w:line="226" w:lineRule="exact"/>
    </w:pPr>
  </w:style>
  <w:style w:type="paragraph" w:styleId="947" w:customStyle="1">
    <w:name w:val="Style20"/>
    <w:basedOn w:val="924"/>
    <w:uiPriority w:val="99"/>
  </w:style>
  <w:style w:type="paragraph" w:styleId="948" w:customStyle="1">
    <w:name w:val="Style21"/>
    <w:basedOn w:val="924"/>
    <w:uiPriority w:val="99"/>
    <w:pPr>
      <w:spacing w:line="274" w:lineRule="exact"/>
    </w:pPr>
  </w:style>
  <w:style w:type="paragraph" w:styleId="949" w:customStyle="1">
    <w:name w:val="Style22"/>
    <w:basedOn w:val="924"/>
    <w:uiPriority w:val="99"/>
  </w:style>
  <w:style w:type="character" w:styleId="950" w:customStyle="1">
    <w:name w:val="Font Style24"/>
    <w:uiPriority w:val="99"/>
    <w:rPr>
      <w:rFonts w:ascii="Times New Roman" w:hAnsi="Times New Roman" w:cs="Times New Roman"/>
      <w:sz w:val="26"/>
      <w:szCs w:val="26"/>
    </w:rPr>
  </w:style>
  <w:style w:type="character" w:styleId="951" w:customStyle="1">
    <w:name w:val="Font Style25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952" w:customStyle="1">
    <w:name w:val="Font Style26"/>
    <w:uiPriority w:val="99"/>
    <w:rPr>
      <w:rFonts w:ascii="Times New Roman" w:hAnsi="Times New Roman" w:cs="Times New Roman"/>
      <w:spacing w:val="10"/>
      <w:sz w:val="26"/>
      <w:szCs w:val="26"/>
    </w:rPr>
  </w:style>
  <w:style w:type="character" w:styleId="953" w:customStyle="1">
    <w:name w:val="Font Style27"/>
    <w:uiPriority w:val="99"/>
    <w:rPr>
      <w:rFonts w:ascii="Times New Roman" w:hAnsi="Times New Roman" w:cs="Times New Roman"/>
      <w:sz w:val="18"/>
      <w:szCs w:val="18"/>
    </w:rPr>
  </w:style>
  <w:style w:type="character" w:styleId="954" w:customStyle="1">
    <w:name w:val="Font Style28"/>
    <w:uiPriority w:val="99"/>
    <w:rPr>
      <w:rFonts w:ascii="Times New Roman" w:hAnsi="Times New Roman" w:cs="Times New Roman"/>
      <w:b/>
      <w:bCs/>
      <w:sz w:val="22"/>
      <w:szCs w:val="22"/>
    </w:rPr>
  </w:style>
  <w:style w:type="character" w:styleId="955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character" w:styleId="956" w:customStyle="1">
    <w:name w:val="Font Style30"/>
    <w:uiPriority w:val="99"/>
    <w:rPr>
      <w:rFonts w:ascii="Microsoft Sans Serif" w:hAnsi="Microsoft Sans Serif" w:cs="Microsoft Sans Serif"/>
      <w:b/>
      <w:bCs/>
      <w:sz w:val="8"/>
      <w:szCs w:val="8"/>
    </w:rPr>
  </w:style>
  <w:style w:type="character" w:styleId="957" w:customStyle="1">
    <w:name w:val="Font Style31"/>
    <w:uiPriority w:val="99"/>
    <w:rPr>
      <w:rFonts w:ascii="Times New Roman" w:hAnsi="Times New Roman" w:cs="Times New Roman"/>
      <w:spacing w:val="-10"/>
      <w:sz w:val="22"/>
      <w:szCs w:val="22"/>
    </w:rPr>
  </w:style>
  <w:style w:type="character" w:styleId="958" w:customStyle="1">
    <w:name w:val="Font Style32"/>
    <w:uiPriority w:val="99"/>
    <w:rPr>
      <w:rFonts w:ascii="Times New Roman" w:hAnsi="Times New Roman" w:cs="Times New Roman"/>
      <w:sz w:val="22"/>
      <w:szCs w:val="22"/>
    </w:rPr>
  </w:style>
  <w:style w:type="paragraph" w:styleId="959">
    <w:name w:val="Balloon Text"/>
    <w:basedOn w:val="924"/>
    <w:link w:val="960"/>
    <w:uiPriority w:val="99"/>
    <w:semiHidden/>
    <w:unhideWhenUsed/>
    <w:rPr>
      <w:rFonts w:ascii="Tahoma" w:hAnsi="Tahoma"/>
      <w:sz w:val="16"/>
      <w:szCs w:val="16"/>
    </w:rPr>
  </w:style>
  <w:style w:type="character" w:styleId="960" w:customStyle="1">
    <w:name w:val="Текст выноски Знак"/>
    <w:link w:val="959"/>
    <w:uiPriority w:val="99"/>
    <w:semiHidden/>
    <w:rPr>
      <w:rFonts w:ascii="Tahoma" w:hAnsi="Tahoma" w:cs="Tahoma"/>
      <w:sz w:val="16"/>
      <w:szCs w:val="16"/>
    </w:rPr>
  </w:style>
  <w:style w:type="table" w:styleId="961">
    <w:name w:val="Table Grid"/>
    <w:basedOn w:val="926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62">
    <w:name w:val="Header"/>
    <w:basedOn w:val="924"/>
    <w:link w:val="9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3" w:customStyle="1">
    <w:name w:val="Верхний колонтитул Знак"/>
    <w:link w:val="962"/>
    <w:uiPriority w:val="99"/>
    <w:rPr>
      <w:rFonts w:hAnsi="Times New Roman" w:cs="Times New Roman"/>
      <w:sz w:val="24"/>
      <w:szCs w:val="24"/>
    </w:rPr>
  </w:style>
  <w:style w:type="paragraph" w:styleId="964">
    <w:name w:val="Footer"/>
    <w:basedOn w:val="924"/>
    <w:link w:val="9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5" w:customStyle="1">
    <w:name w:val="Нижний колонтитул Знак"/>
    <w:link w:val="964"/>
    <w:uiPriority w:val="99"/>
    <w:rPr>
      <w:rFonts w:hAnsi="Times New Roman" w:cs="Times New Roman"/>
      <w:sz w:val="24"/>
      <w:szCs w:val="24"/>
    </w:rPr>
  </w:style>
  <w:style w:type="paragraph" w:styleId="966">
    <w:name w:val="Normal (Web)"/>
    <w:basedOn w:val="924"/>
    <w:uiPriority w:val="99"/>
    <w:pPr>
      <w:spacing w:before="100" w:beforeAutospacing="1" w:after="100" w:afterAutospacing="1"/>
      <w:widowControl/>
    </w:pPr>
  </w:style>
  <w:style w:type="paragraph" w:styleId="967" w:customStyle="1">
    <w:name w:val="заголовок 3"/>
    <w:basedOn w:val="924"/>
    <w:next w:val="924"/>
    <w:pPr>
      <w:jc w:val="center"/>
      <w:keepNext/>
      <w:outlineLvl w:val="2"/>
    </w:pPr>
    <w:rPr>
      <w:sz w:val="28"/>
      <w:szCs w:val="28"/>
    </w:rPr>
  </w:style>
  <w:style w:type="paragraph" w:styleId="968">
    <w:name w:val="annotation text"/>
    <w:basedOn w:val="924"/>
    <w:link w:val="969"/>
    <w:pPr>
      <w:widowControl/>
    </w:pPr>
    <w:rPr>
      <w:rFonts w:hAnsi="Calibri"/>
      <w:sz w:val="20"/>
      <w:szCs w:val="20"/>
    </w:rPr>
  </w:style>
  <w:style w:type="character" w:styleId="969" w:customStyle="1">
    <w:name w:val="Текст примечания Знак"/>
    <w:link w:val="968"/>
    <w:rPr>
      <w:lang w:val="ru-RU" w:eastAsia="ru-RU" w:bidi="ar-SA"/>
    </w:rPr>
  </w:style>
  <w:style w:type="paragraph" w:styleId="970" w:customStyle="1">
    <w:name w:val="ConsPlusNormal"/>
    <w:link w:val="973"/>
    <w:qFormat/>
    <w:pPr>
      <w:widowControl w:val="off"/>
    </w:pPr>
    <w:rPr>
      <w:rFonts w:ascii="Calibri" w:cs="Calibri"/>
      <w:sz w:val="22"/>
    </w:rPr>
  </w:style>
  <w:style w:type="paragraph" w:styleId="971">
    <w:name w:val="List Paragraph"/>
    <w:basedOn w:val="924"/>
    <w:link w:val="972"/>
    <w:uiPriority w:val="34"/>
    <w:qFormat/>
    <w:pPr>
      <w:contextualSpacing/>
      <w:ind w:left="720"/>
      <w:spacing w:after="200" w:line="276" w:lineRule="auto"/>
      <w:widowControl/>
    </w:pPr>
    <w:rPr>
      <w:rFonts w:ascii="Calibri" w:hAnsi="Calibri" w:eastAsia="Calibri"/>
      <w:sz w:val="22"/>
      <w:szCs w:val="22"/>
      <w:lang w:eastAsia="en-US"/>
    </w:rPr>
  </w:style>
  <w:style w:type="character" w:styleId="972" w:customStyle="1">
    <w:name w:val="Абзац списка Знак"/>
    <w:link w:val="971"/>
    <w:rPr>
      <w:rFonts w:ascii="Calibri" w:hAnsi="Calibri" w:eastAsia="Calibri"/>
      <w:sz w:val="22"/>
      <w:szCs w:val="22"/>
      <w:lang w:val="ru-RU" w:eastAsia="en-US" w:bidi="ar-SA"/>
    </w:rPr>
  </w:style>
  <w:style w:type="character" w:styleId="973" w:customStyle="1">
    <w:name w:val="ConsPlusNormal Знак"/>
    <w:link w:val="970"/>
    <w:uiPriority w:val="99"/>
    <w:qFormat/>
    <w:rPr>
      <w:rFonts w:ascii="Calibri" w:cs="Calibri"/>
      <w:sz w:val="22"/>
      <w:lang w:val="ru-RU" w:eastAsia="ru-RU" w:bidi="ar-SA"/>
    </w:rPr>
  </w:style>
  <w:style w:type="character" w:styleId="974" w:customStyle="1">
    <w:name w:val="Знак Знак5"/>
    <w:rPr>
      <w:rFonts w:ascii="Tahoma" w:hAnsi="Tahoma" w:cs="Tahoma"/>
      <w:sz w:val="16"/>
      <w:szCs w:val="16"/>
    </w:rPr>
  </w:style>
  <w:style w:type="character" w:styleId="975" w:customStyle="1">
    <w:name w:val="Hyperlink.1"/>
    <w:rPr>
      <w:rFonts w:hint="default" w:ascii="Times New Roman" w:hAnsi="Times New Roman" w:cs="Times New Roman"/>
    </w:rPr>
  </w:style>
  <w:style w:type="paragraph" w:styleId="976" w:customStyle="1">
    <w:name w:val="ConsPlusTitle"/>
    <w:uiPriority w:val="99"/>
    <w:qFormat/>
    <w:rPr>
      <w:rFonts w:hAnsi="Times New Roman" w:eastAsia="Calibri"/>
      <w:b/>
      <w:bCs/>
      <w:sz w:val="24"/>
      <w:szCs w:val="24"/>
    </w:rPr>
  </w:style>
  <w:style w:type="character" w:styleId="977" w:customStyle="1">
    <w:name w:val="Font Style16"/>
    <w:rPr>
      <w:rFonts w:ascii="Times New Roman" w:hAnsi="Times New Roman" w:cs="Times New Roman"/>
      <w:sz w:val="26"/>
      <w:szCs w:val="26"/>
    </w:rPr>
  </w:style>
  <w:style w:type="paragraph" w:styleId="978" w:customStyle="1">
    <w:name w:val="constitle"/>
    <w:basedOn w:val="924"/>
    <w:pPr>
      <w:spacing w:before="100" w:beforeAutospacing="1" w:after="100" w:afterAutospacing="1"/>
      <w:widowControl/>
    </w:pPr>
  </w:style>
  <w:style w:type="paragraph" w:styleId="979" w:customStyle="1">
    <w:name w:val="msolistparagraph_mr_css_attr"/>
    <w:basedOn w:val="924"/>
    <w:pPr>
      <w:spacing w:before="100" w:beforeAutospacing="1" w:after="100" w:afterAutospacing="1"/>
      <w:widowControl/>
    </w:pPr>
    <w:rPr>
      <w:rFonts w:eastAsiaTheme="minorHAnsi"/>
    </w:rPr>
  </w:style>
  <w:style w:type="character" w:styleId="980">
    <w:name w:val="Hyperlink"/>
    <w:basedOn w:val="925"/>
    <w:uiPriority w:val="99"/>
    <w:unhideWhenUsed/>
    <w:rPr>
      <w:color w:val="0000ff"/>
      <w:u w:val="single"/>
    </w:rPr>
  </w:style>
  <w:style w:type="character" w:styleId="981">
    <w:name w:val="annotation reference"/>
    <w:basedOn w:val="925"/>
    <w:uiPriority w:val="99"/>
    <w:semiHidden/>
    <w:unhideWhenUsed/>
    <w:rPr>
      <w:sz w:val="16"/>
      <w:szCs w:val="16"/>
    </w:rPr>
  </w:style>
  <w:style w:type="paragraph" w:styleId="982">
    <w:name w:val="annotation subject"/>
    <w:basedOn w:val="968"/>
    <w:next w:val="968"/>
    <w:link w:val="983"/>
    <w:uiPriority w:val="99"/>
    <w:semiHidden/>
    <w:unhideWhenUsed/>
    <w:pPr>
      <w:widowControl w:val="off"/>
    </w:pPr>
    <w:rPr>
      <w:rFonts w:hAnsi="Times New Roman"/>
      <w:b/>
      <w:bCs/>
    </w:rPr>
  </w:style>
  <w:style w:type="character" w:styleId="983" w:customStyle="1">
    <w:name w:val="Тема примечания Знак"/>
    <w:basedOn w:val="969"/>
    <w:link w:val="982"/>
    <w:uiPriority w:val="99"/>
    <w:semiHidden/>
    <w:rPr>
      <w:rFonts w:hAnsi="Times New Roman"/>
      <w:b/>
      <w:bCs/>
      <w:lang w:val="ru-RU" w:eastAsia="ru-RU" w:bidi="ar-SA"/>
    </w:rPr>
  </w:style>
  <w:style w:type="paragraph" w:styleId="984" w:customStyle="1">
    <w:name w:val="formattext topleveltext"/>
    <w:basedOn w:val="924"/>
    <w:pPr>
      <w:spacing w:before="100" w:beforeAutospacing="1" w:after="100" w:afterAutospacing="1"/>
      <w:widowControl/>
    </w:pPr>
    <w:rPr>
      <w:rFonts w:ascii="Arial Unicode MS" w:hAnsi="Arial Unicode MS" w:eastAsia="Arial Unicode MS" w:cs="Arial Unicode MS"/>
    </w:rPr>
  </w:style>
  <w:style w:type="table" w:styleId="985" w:customStyle="1">
    <w:name w:val="Сетка таблицы1"/>
    <w:basedOn w:val="926"/>
    <w:next w:val="961"/>
    <w:uiPriority w:val="59"/>
    <w:rPr>
      <w:rFonts w:ascii="Calibri" w:eastAsia="Calibri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6" w:customStyle="1">
    <w:name w:val="Сетка таблицы2"/>
    <w:basedOn w:val="926"/>
    <w:next w:val="961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7" w:customStyle="1">
    <w:name w:val="Сетка таблицы11"/>
    <w:basedOn w:val="926"/>
    <w:next w:val="961"/>
    <w:uiPriority w:val="59"/>
    <w:pPr>
      <w:ind w:firstLine="567"/>
    </w:pPr>
    <w:rPr>
      <w:rFonts w:hAnsi="Times New Roman" w:eastAsiaTheme="minorHAnsi" w:cstheme="minorBidi"/>
      <w:sz w:val="24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8" w:customStyle="1">
    <w:name w:val="Сетка таблицы3"/>
    <w:basedOn w:val="926"/>
    <w:next w:val="961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9" w:customStyle="1">
    <w:name w:val="Сетка таблицы12"/>
    <w:basedOn w:val="926"/>
    <w:next w:val="961"/>
    <w:uiPriority w:val="59"/>
    <w:pPr>
      <w:ind w:firstLine="567"/>
    </w:pPr>
    <w:rPr>
      <w:rFonts w:hAnsi="Times New Roman" w:eastAsiaTheme="minorHAnsi" w:cstheme="minorBidi"/>
      <w:sz w:val="24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90" w:customStyle="1">
    <w:name w:val="_ Обычный 14 Отступ"/>
    <w:basedOn w:val="924"/>
    <w:qFormat/>
    <w:pPr>
      <w:ind w:firstLine="709"/>
      <w:jc w:val="both"/>
    </w:pPr>
    <w:rPr>
      <w:rFonts w:eastAsiaTheme="minorHAnsi"/>
      <w:sz w:val="28"/>
      <w:szCs w:val="28"/>
      <w:lang w:eastAsia="en-US"/>
    </w:rPr>
  </w:style>
  <w:style w:type="character" w:styleId="991" w:customStyle="1">
    <w:name w:val="Strong"/>
    <w:basedOn w:val="862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cons-kcr.lenreg.ru/cgi/online.cgi?req=doc&amp;base=LAW&amp;n=501509&amp;dst=100010&amp;field=134&amp;date=26.05.2026" TargetMode="External"/><Relationship Id="rId13" Type="http://schemas.openxmlformats.org/officeDocument/2006/relationships/hyperlink" Target="https://cons-kcr.lenreg.ru/cgi/online.cgi?req=doc&amp;base=LAW&amp;n=153376&amp;date=26.05.2026" TargetMode="External"/><Relationship Id="rId14" Type="http://schemas.openxmlformats.org/officeDocument/2006/relationships/hyperlink" Target="https://cons-kcr.lenreg.ru/cgi/online.cgi?req=doc&amp;base=SPB&amp;n=319638&amp;dst=100029&amp;field=134&amp;date=26.05.2026" TargetMode="External"/><Relationship Id="rId15" Type="http://schemas.openxmlformats.org/officeDocument/2006/relationships/hyperlink" Target="https://login.consultant.ru/link/?req=doc&amp;base=SPB&amp;n=301642&amp;dst=100095" TargetMode="External"/><Relationship Id="rId16" Type="http://schemas.openxmlformats.org/officeDocument/2006/relationships/hyperlink" Target="https://cons-kcr.lenreg.ru/cgi/online.cgi?req=doc&amp;base=LAW&amp;n=153376&amp;date=26.05.2026" TargetMode="External"/><Relationship Id="rId17" Type="http://schemas.openxmlformats.org/officeDocument/2006/relationships/hyperlink" Target="https://cons-kcr.lenreg.ru/cgi/online.cgi?req=doc&amp;base=LAW&amp;n=501509&amp;dst=100010&amp;field=134&amp;date=26.05.2026" TargetMode="External"/><Relationship Id="rId18" Type="http://schemas.openxmlformats.org/officeDocument/2006/relationships/hyperlink" Target="https://cons-kcr.lenreg.ru/cgi/online.cgi?req=doc&amp;base=LAW&amp;n=298035&amp;dst=100007&amp;field=134&amp;date=20.07.2026" TargetMode="External"/><Relationship Id="rId19" Type="http://schemas.openxmlformats.org/officeDocument/2006/relationships/hyperlink" Target="https://cons-kcr.lenreg.ru/cgi/online.cgi?req=doc&amp;base=LAW&amp;n=522982&amp;dst=100259&amp;field=134&amp;date=05.05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E3B3D-7607-48C5-87F6-673A3E1D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Галина Михайловна БРЯНЦЕВА</dc:creator>
  <cp:lastModifiedBy>aal_myshkina</cp:lastModifiedBy>
  <cp:revision>83</cp:revision>
  <dcterms:created xsi:type="dcterms:W3CDTF">2026-05-04T14:11:00Z</dcterms:created>
  <dcterms:modified xsi:type="dcterms:W3CDTF">2026-10-14T06:11:56Z</dcterms:modified>
</cp:coreProperties>
</file>