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2"/>
        <w:jc w:val="right"/>
        <w:tabs>
          <w:tab w:val="right" w:pos="7655" w:leader="none"/>
        </w:tabs>
      </w:pPr>
      <w:r/>
      <w:r/>
    </w:p>
    <w:p>
      <w:pPr>
        <w:pStyle w:val="842"/>
        <w:jc w:val="center"/>
        <w:tabs>
          <w:tab w:val="right" w:pos="7655" w:leader="none"/>
        </w:tabs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810158" cy="1026671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810158" cy="10266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3.79pt;height:80.84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pStyle w:val="842"/>
        <w:jc w:val="center"/>
        <w:rPr>
          <w:spacing w:val="30"/>
          <w:sz w:val="28"/>
          <w:szCs w:val="28"/>
        </w:rPr>
      </w:pPr>
      <w:r>
        <w:rPr>
          <w:spacing w:val="30"/>
          <w:sz w:val="28"/>
          <w:szCs w:val="28"/>
        </w:rPr>
        <w:t xml:space="preserve">АДМИНИСТРАЦИЯ ЛЕНИНГРАДСКОЙ ОБЛАСТИ</w:t>
      </w:r>
      <w:r>
        <w:rPr>
          <w:spacing w:val="30"/>
          <w:sz w:val="28"/>
          <w:szCs w:val="28"/>
        </w:rPr>
      </w:r>
      <w:r>
        <w:rPr>
          <w:spacing w:val="30"/>
          <w:sz w:val="28"/>
          <w:szCs w:val="28"/>
        </w:rPr>
      </w:r>
    </w:p>
    <w:p>
      <w:pPr>
        <w:pStyle w:val="849"/>
        <w:ind w:left="0"/>
        <w:spacing w:before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КОМИТЕТ </w:t>
      </w:r>
      <w:r>
        <w:rPr>
          <w:sz w:val="28"/>
          <w:szCs w:val="28"/>
          <w:lang w:val="ru-RU"/>
        </w:rPr>
        <w:t xml:space="preserve">ПО </w:t>
      </w:r>
      <w:r>
        <w:rPr>
          <w:sz w:val="28"/>
          <w:szCs w:val="28"/>
          <w:lang w:val="ru-RU"/>
        </w:rPr>
        <w:t xml:space="preserve">СОХРАНЕНИЮ КУЛЬТУРНОГО НАСЛЕДИЯ</w:t>
      </w:r>
      <w:r>
        <w:rPr>
          <w:sz w:val="28"/>
          <w:szCs w:val="28"/>
          <w:lang w:val="ru-RU"/>
        </w:rPr>
        <w:t xml:space="preserve"> ЛЕНИНГРАДСКОЙ ОБЛАСТИ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42"/>
        <w:jc w:val="center"/>
        <w:pBdr>
          <w:bottom w:val="single" w:color="000000" w:sz="12" w:space="1"/>
        </w:pBdr>
      </w:pPr>
      <w:r/>
      <w:r/>
    </w:p>
    <w:p>
      <w:pPr>
        <w:pStyle w:val="842"/>
        <w:jc w:val="center"/>
        <w:rPr>
          <w:b/>
          <w:spacing w:val="80"/>
        </w:rPr>
      </w:pPr>
      <w:r>
        <w:rPr>
          <w:b/>
          <w:spacing w:val="80"/>
        </w:rPr>
      </w:r>
      <w:r>
        <w:rPr>
          <w:b/>
          <w:spacing w:val="80"/>
        </w:rPr>
      </w:r>
      <w:r>
        <w:rPr>
          <w:b/>
          <w:spacing w:val="80"/>
        </w:rPr>
      </w:r>
    </w:p>
    <w:p>
      <w:pPr>
        <w:pStyle w:val="84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ПРИКАЗ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842"/>
        <w:jc w:val="center"/>
        <w:tabs>
          <w:tab w:val="right" w:pos="9356" w:leader="none"/>
        </w:tabs>
        <w:rPr>
          <w:sz w:val="10"/>
          <w:szCs w:val="10"/>
        </w:rPr>
      </w:pPr>
      <w:r>
        <w:rPr>
          <w:sz w:val="10"/>
          <w:szCs w:val="10"/>
        </w:rPr>
      </w:r>
      <w:r>
        <w:rPr>
          <w:sz w:val="10"/>
          <w:szCs w:val="10"/>
        </w:rPr>
      </w:r>
      <w:r>
        <w:rPr>
          <w:sz w:val="10"/>
          <w:szCs w:val="10"/>
        </w:rPr>
      </w:r>
    </w:p>
    <w:p>
      <w:pPr>
        <w:pStyle w:val="842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«___</w:t>
      </w:r>
      <w:r>
        <w:rPr>
          <w:sz w:val="28"/>
          <w:szCs w:val="28"/>
        </w:rPr>
        <w:t xml:space="preserve">»____________2026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№_______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2"/>
        <w:jc w:val="center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sz w:val="28"/>
          <w:szCs w:val="28"/>
        </w:rPr>
        <w:t xml:space="preserve">Санкт-Петербург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jc w:val="center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53"/>
        <w:jc w:val="center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созда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нии комиссии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установлению историко-культурной ценности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объекта, обладающего признаками объекта культурного наследия, </w:t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«Здание кирхи прихода Каннельярви», расположенного по адресу: Ленинградская область, Выборгский район, Рощинское городское поселение, </w:t>
        <w:br/>
        <w:t xml:space="preserve">посёлок Победа, улица Мира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53"/>
        <w:jc w:val="center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>
        <w:rPr>
          <w:color w:val="000000"/>
          <w:sz w:val="28"/>
          <w:szCs w:val="28"/>
        </w:rPr>
        <w:t xml:space="preserve">со </w:t>
      </w:r>
      <w:r>
        <w:rPr>
          <w:sz w:val="28"/>
          <w:szCs w:val="28"/>
        </w:rPr>
        <w:t xml:space="preserve">ст. ст. 9.2, 16.1 Федерального закона от 25 июня 2002 года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73-Ф3 «Об объектах культурного наследия (памятниках истории и культуры) народов Российской Федерации», ст. 7 </w:t>
      </w:r>
      <w:r>
        <w:rPr>
          <w:bCs/>
          <w:sz w:val="28"/>
          <w:szCs w:val="28"/>
        </w:rPr>
        <w:t xml:space="preserve">Областного закона Ленинградской области </w:t>
      </w:r>
      <w:r>
        <w:rPr>
          <w:bCs/>
          <w:sz w:val="28"/>
          <w:szCs w:val="28"/>
        </w:rPr>
        <w:br w:type="textWrapping" w:clear="all"/>
      </w:r>
      <w:r>
        <w:rPr>
          <w:bCs/>
          <w:sz w:val="28"/>
          <w:szCs w:val="28"/>
        </w:rPr>
        <w:t xml:space="preserve">от 25 декабря 2015 года № 140-оз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«О государственной охране, сохранении, использовании и популяризации объектов культурного наследия (памятниках истории и культуры) народов Российской Федерации, расположенных</w:t>
      </w:r>
      <w:r>
        <w:rPr>
          <w:bCs/>
          <w:sz w:val="28"/>
          <w:szCs w:val="28"/>
        </w:rPr>
        <w:t xml:space="preserve"> </w:t>
        <w:br/>
      </w:r>
      <w:r>
        <w:rPr>
          <w:bCs/>
          <w:sz w:val="28"/>
          <w:szCs w:val="28"/>
        </w:rPr>
        <w:t xml:space="preserve">на территории Ленинградской области»,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подпунктами </w:t>
      </w:r>
      <w:r>
        <w:rPr>
          <w:sz w:val="28"/>
          <w:szCs w:val="28"/>
          <w:highlight w:val="none"/>
        </w:rPr>
        <w:t xml:space="preserve">2.1.2, 2.3.7 </w:t>
      </w:r>
      <w:r>
        <w:rPr>
          <w:sz w:val="28"/>
          <w:szCs w:val="28"/>
          <w:highlight w:val="none"/>
        </w:rPr>
        <w:t xml:space="preserve">Положения </w:t>
        <w:br/>
        <w:t xml:space="preserve">о комитете по сохранению культурного наследия Ленинградской области, утвержденного постановлением Правительства Ленинградской области </w:t>
      </w:r>
      <w:r>
        <w:rPr>
          <w:sz w:val="28"/>
          <w:szCs w:val="28"/>
          <w:highlight w:val="none"/>
        </w:rPr>
        <w:br/>
        <w:t xml:space="preserve">от 24 декабря 2020 года № 850</w:t>
      </w:r>
      <w:r>
        <w:rPr>
          <w:sz w:val="28"/>
          <w:szCs w:val="28"/>
          <w:highlight w:val="none"/>
        </w:rPr>
        <w:t xml:space="preserve">, </w:t>
      </w:r>
      <w:r>
        <w:rPr>
          <w:color w:val="000000"/>
          <w:sz w:val="28"/>
          <w:szCs w:val="28"/>
        </w:rPr>
        <w:t xml:space="preserve">п. 4 раздела 3 Порядка организации работы </w:t>
        <w:br/>
      </w:r>
      <w:r>
        <w:rPr>
          <w:color w:val="000000"/>
          <w:sz w:val="28"/>
          <w:szCs w:val="28"/>
        </w:rPr>
        <w:t xml:space="preserve">по установлению историко-культурной ценности объекта, обладающего признаками объекта культурного наследия</w:t>
      </w:r>
      <w:r>
        <w:rPr>
          <w:sz w:val="28"/>
          <w:szCs w:val="28"/>
        </w:rPr>
        <w:t xml:space="preserve">, утвержденного приказом комитета по культуре Ленинградской области от 24 июля 2017 года № 01-03/17-64, на основании заявления </w:t>
      </w:r>
      <w:r>
        <w:rPr>
          <w:sz w:val="28"/>
          <w:szCs w:val="28"/>
        </w:rPr>
        <w:t xml:space="preserve">о включении объекта</w:t>
      </w:r>
      <w:r>
        <w:rPr>
          <w:sz w:val="28"/>
          <w:szCs w:val="28"/>
        </w:rPr>
        <w:t xml:space="preserve">, обладающего</w:t>
      </w:r>
      <w:r>
        <w:rPr>
          <w:sz w:val="28"/>
          <w:szCs w:val="28"/>
        </w:rPr>
        <w:t xml:space="preserve"> признаками объекта культурного наследия, </w:t>
      </w:r>
      <w:r>
        <w:rPr>
          <w:sz w:val="28"/>
          <w:szCs w:val="28"/>
        </w:rPr>
        <w:t xml:space="preserve">в единый государственный реестр объектов культурного наследия (памятников истории и культуры) народов Российской Федерации, приказываю</w:t>
      </w:r>
      <w:r>
        <w:rPr>
          <w:color w:val="000000"/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2"/>
        <w:numPr>
          <w:ilvl w:val="0"/>
          <w:numId w:val="3"/>
        </w:numPr>
        <w:ind w:left="0" w:firstLine="709"/>
        <w:jc w:val="both"/>
        <w:rPr>
          <w:b w:val="0"/>
          <w:bCs w:val="0"/>
          <w:sz w:val="28"/>
          <w:szCs w:val="28"/>
          <w:highlight w:val="none"/>
        </w:rPr>
      </w:pPr>
      <w:r>
        <w:rPr>
          <w:sz w:val="28"/>
          <w:szCs w:val="28"/>
        </w:rPr>
        <w:t xml:space="preserve">Создать комиссию для принятия решения по установлению историко-культурной</w:t>
      </w:r>
      <w:r>
        <w:rPr>
          <w:b w:val="0"/>
          <w:bCs w:val="0"/>
          <w:sz w:val="28"/>
          <w:szCs w:val="28"/>
          <w:highlight w:val="none"/>
        </w:rPr>
        <w:t xml:space="preserve"> ценности объекта,</w:t>
      </w:r>
      <w:r>
        <w:rPr>
          <w:b w:val="0"/>
          <w:bCs w:val="0"/>
          <w:sz w:val="28"/>
          <w:szCs w:val="28"/>
          <w:highlight w:val="none"/>
        </w:rPr>
        <w:t xml:space="preserve"> </w:t>
      </w:r>
      <w:r>
        <w:rPr>
          <w:b w:val="0"/>
          <w:bCs w:val="0"/>
          <w:sz w:val="28"/>
          <w:szCs w:val="28"/>
          <w:highlight w:val="none"/>
        </w:rPr>
        <w:t xml:space="preserve">обладающего признаками объекта культурного наследия, </w:t>
      </w:r>
      <w:r>
        <w:rPr>
          <w:b w:val="0"/>
          <w:bCs w:val="0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Здание кирхи прихода Каннельярви</w:t>
      </w:r>
      <w:r>
        <w:rPr>
          <w:b w:val="0"/>
          <w:bCs w:val="0"/>
          <w:sz w:val="28"/>
          <w:szCs w:val="28"/>
          <w:highlight w:val="none"/>
        </w:rPr>
        <w:t xml:space="preserve">»</w:t>
      </w:r>
      <w:r>
        <w:rPr>
          <w:b w:val="0"/>
          <w:bCs w:val="0"/>
          <w:sz w:val="28"/>
          <w:szCs w:val="28"/>
          <w:highlight w:val="none"/>
        </w:rPr>
        <w:t xml:space="preserve">, </w:t>
      </w:r>
      <w:r>
        <w:rPr>
          <w:b w:val="0"/>
          <w:bCs w:val="0"/>
          <w:sz w:val="28"/>
          <w:szCs w:val="28"/>
          <w:highlight w:val="none"/>
        </w:rPr>
        <w:t xml:space="preserve">расположенного по адресу: 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Ленинградская область,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Выборгский район, Рощинское городское поселение, посёлок Победа, улица Мира,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в составе согласно приложению № 1 к настоящему приказу (далее – Комиссия)</w:t>
      </w:r>
      <w:r>
        <w:rPr>
          <w:b w:val="0"/>
          <w:bCs w:val="0"/>
          <w:sz w:val="28"/>
          <w:szCs w:val="28"/>
          <w:highlight w:val="none"/>
        </w:rPr>
        <w:t xml:space="preserve">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842"/>
        <w:numPr>
          <w:ilvl w:val="0"/>
          <w:numId w:val="3"/>
        </w:numPr>
        <w:ind w:left="0" w:firstLine="709"/>
        <w:jc w:val="both"/>
        <w:rPr>
          <w:b w:val="0"/>
          <w:bCs w:val="0"/>
          <w:sz w:val="28"/>
          <w:szCs w:val="28"/>
          <w:highlight w:val="none"/>
        </w:rPr>
      </w:pPr>
      <w:r>
        <w:rPr>
          <w:rFonts w:eastAsia="Calibri"/>
          <w:b w:val="0"/>
          <w:bCs w:val="0"/>
          <w:sz w:val="28"/>
          <w:szCs w:val="28"/>
          <w:highlight w:val="none"/>
        </w:rPr>
        <w:t xml:space="preserve">Утвердить порядок организации деятельности Комиссии согласно приложению № 2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 к настоящему приказу.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842"/>
        <w:numPr>
          <w:ilvl w:val="0"/>
          <w:numId w:val="3"/>
        </w:numPr>
        <w:ind w:left="0" w:firstLine="709"/>
        <w:jc w:val="both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Комисси</w:t>
      </w:r>
      <w:r>
        <w:rPr>
          <w:b w:val="0"/>
          <w:bCs w:val="0"/>
          <w:sz w:val="28"/>
          <w:szCs w:val="28"/>
          <w:highlight w:val="none"/>
        </w:rPr>
        <w:t xml:space="preserve">и</w:t>
      </w:r>
      <w:r>
        <w:rPr>
          <w:b w:val="0"/>
          <w:bCs w:val="0"/>
          <w:sz w:val="28"/>
          <w:szCs w:val="28"/>
          <w:highlight w:val="none"/>
        </w:rPr>
        <w:t xml:space="preserve">,</w:t>
      </w:r>
      <w:r>
        <w:rPr>
          <w:b w:val="0"/>
          <w:bCs w:val="0"/>
          <w:sz w:val="28"/>
          <w:szCs w:val="28"/>
          <w:highlight w:val="none"/>
        </w:rPr>
        <w:t xml:space="preserve"> </w:t>
      </w:r>
      <w:r>
        <w:rPr>
          <w:b w:val="0"/>
          <w:bCs w:val="0"/>
          <w:sz w:val="28"/>
          <w:szCs w:val="28"/>
          <w:highlight w:val="none"/>
        </w:rPr>
        <w:t xml:space="preserve">с даты вступления в силу настоящего приказа и не позднее</w:t>
      </w:r>
      <w:r>
        <w:rPr>
          <w:b w:val="0"/>
          <w:bCs w:val="0"/>
          <w:sz w:val="28"/>
          <w:szCs w:val="28"/>
          <w:highlight w:val="none"/>
        </w:rPr>
        <w:t xml:space="preserve"> </w:t>
        <w:br/>
      </w:r>
      <w:r>
        <w:rPr>
          <w:b w:val="0"/>
          <w:bCs w:val="0"/>
          <w:sz w:val="28"/>
          <w:szCs w:val="28"/>
          <w:highlight w:val="none"/>
        </w:rPr>
        <w:t xml:space="preserve">09</w:t>
      </w:r>
      <w:r>
        <w:rPr>
          <w:b w:val="0"/>
          <w:bCs w:val="0"/>
          <w:sz w:val="28"/>
          <w:szCs w:val="28"/>
          <w:highlight w:val="none"/>
        </w:rPr>
        <w:t xml:space="preserve"> </w:t>
      </w:r>
      <w:r>
        <w:rPr>
          <w:b w:val="0"/>
          <w:bCs w:val="0"/>
          <w:sz w:val="28"/>
          <w:szCs w:val="28"/>
          <w:highlight w:val="none"/>
        </w:rPr>
        <w:t xml:space="preserve">ноября</w:t>
      </w:r>
      <w:r>
        <w:rPr>
          <w:b w:val="0"/>
          <w:bCs w:val="0"/>
          <w:sz w:val="28"/>
          <w:szCs w:val="28"/>
          <w:highlight w:val="none"/>
        </w:rPr>
        <w:t xml:space="preserve"> 2026</w:t>
      </w:r>
      <w:r>
        <w:rPr>
          <w:b w:val="0"/>
          <w:bCs w:val="0"/>
          <w:sz w:val="28"/>
          <w:szCs w:val="28"/>
          <w:highlight w:val="none"/>
        </w:rPr>
        <w:t xml:space="preserve"> </w:t>
      </w:r>
      <w:r>
        <w:rPr>
          <w:b w:val="0"/>
          <w:bCs w:val="0"/>
          <w:sz w:val="28"/>
          <w:szCs w:val="28"/>
          <w:highlight w:val="none"/>
        </w:rPr>
        <w:t xml:space="preserve">года</w:t>
      </w:r>
      <w:r>
        <w:rPr>
          <w:b w:val="0"/>
          <w:bCs w:val="0"/>
          <w:sz w:val="28"/>
          <w:szCs w:val="28"/>
          <w:highlight w:val="none"/>
        </w:rPr>
        <w:t xml:space="preserve"> </w:t>
      </w:r>
      <w:r>
        <w:rPr>
          <w:b w:val="0"/>
          <w:bCs w:val="0"/>
          <w:sz w:val="28"/>
          <w:szCs w:val="28"/>
          <w:highlight w:val="none"/>
        </w:rPr>
        <w:t xml:space="preserve">организовать и провести осмотр объект</w:t>
      </w:r>
      <w:r>
        <w:rPr>
          <w:b w:val="0"/>
          <w:bCs w:val="0"/>
          <w:sz w:val="28"/>
          <w:szCs w:val="28"/>
          <w:highlight w:val="none"/>
        </w:rPr>
        <w:t xml:space="preserve">а</w:t>
      </w:r>
      <w:r>
        <w:rPr>
          <w:b w:val="0"/>
          <w:bCs w:val="0"/>
          <w:sz w:val="28"/>
          <w:szCs w:val="28"/>
          <w:highlight w:val="none"/>
        </w:rPr>
        <w:t xml:space="preserve">, обладающ</w:t>
      </w:r>
      <w:r>
        <w:rPr>
          <w:b w:val="0"/>
          <w:bCs w:val="0"/>
          <w:sz w:val="28"/>
          <w:szCs w:val="28"/>
          <w:highlight w:val="none"/>
        </w:rPr>
        <w:t xml:space="preserve">его</w:t>
      </w:r>
      <w:r>
        <w:rPr>
          <w:b w:val="0"/>
          <w:bCs w:val="0"/>
          <w:sz w:val="28"/>
          <w:szCs w:val="28"/>
          <w:highlight w:val="none"/>
        </w:rPr>
        <w:t xml:space="preserve"> признаками объекта культурного наследия</w:t>
      </w:r>
      <w:r>
        <w:rPr>
          <w:b w:val="0"/>
          <w:bCs w:val="0"/>
          <w:sz w:val="28"/>
          <w:szCs w:val="28"/>
          <w:highlight w:val="none"/>
        </w:rPr>
        <w:t xml:space="preserve">, указанного в п.</w:t>
      </w:r>
      <w:r>
        <w:rPr>
          <w:b w:val="0"/>
          <w:bCs w:val="0"/>
          <w:sz w:val="28"/>
          <w:szCs w:val="28"/>
          <w:highlight w:val="none"/>
        </w:rPr>
        <w:t xml:space="preserve"> </w:t>
      </w:r>
      <w:r>
        <w:rPr>
          <w:b w:val="0"/>
          <w:bCs w:val="0"/>
          <w:sz w:val="28"/>
          <w:szCs w:val="28"/>
          <w:highlight w:val="none"/>
        </w:rPr>
        <w:t xml:space="preserve">1 настоящего приказа</w:t>
      </w:r>
      <w:r>
        <w:rPr>
          <w:b w:val="0"/>
          <w:bCs w:val="0"/>
          <w:sz w:val="28"/>
          <w:szCs w:val="28"/>
          <w:highlight w:val="none"/>
        </w:rPr>
        <w:t xml:space="preserve">; </w:t>
        <w:br/>
        <w:t xml:space="preserve">не позднее </w:t>
      </w:r>
      <w:r>
        <w:rPr>
          <w:b w:val="0"/>
          <w:bCs w:val="0"/>
          <w:sz w:val="28"/>
          <w:szCs w:val="28"/>
          <w:highlight w:val="none"/>
        </w:rPr>
        <w:t xml:space="preserve">16 ноября 2026 </w:t>
      </w:r>
      <w:r>
        <w:rPr>
          <w:b w:val="0"/>
          <w:bCs w:val="0"/>
          <w:sz w:val="28"/>
          <w:szCs w:val="28"/>
          <w:highlight w:val="none"/>
        </w:rPr>
        <w:t xml:space="preserve">года подготовить заключение по историко-культурной ценности объекта культурного наследия, указанного в п. 1 настоящего приказа</w:t>
      </w:r>
      <w:r>
        <w:rPr>
          <w:b w:val="0"/>
          <w:bCs w:val="0"/>
          <w:sz w:val="28"/>
          <w:szCs w:val="28"/>
          <w:highlight w:val="none"/>
        </w:rPr>
        <w:t xml:space="preserve">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842"/>
        <w:ind w:right="2" w:firstLine="709"/>
        <w:jc w:val="both"/>
        <w:widowControl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4. </w:t>
      </w:r>
      <w:r>
        <w:rPr>
          <w:b w:val="0"/>
          <w:bCs w:val="0"/>
          <w:sz w:val="28"/>
          <w:szCs w:val="28"/>
          <w:highlight w:val="none"/>
        </w:rPr>
        <w:t xml:space="preserve">       </w:t>
      </w:r>
      <w:r>
        <w:rPr>
          <w:b w:val="0"/>
          <w:bCs w:val="0"/>
          <w:sz w:val="28"/>
          <w:szCs w:val="28"/>
          <w:highlight w:val="none"/>
        </w:rPr>
        <w:t xml:space="preserve">Контроль за исполнением настоящего приказа </w:t>
      </w:r>
      <w:r>
        <w:rPr>
          <w:b w:val="0"/>
          <w:bCs w:val="0"/>
          <w:sz w:val="28"/>
          <w:szCs w:val="28"/>
          <w:highlight w:val="none"/>
        </w:rPr>
        <w:t xml:space="preserve">оставляю за собой</w:t>
      </w:r>
      <w:r>
        <w:rPr>
          <w:b w:val="0"/>
          <w:bCs w:val="0"/>
          <w:sz w:val="28"/>
          <w:szCs w:val="28"/>
          <w:highlight w:val="none"/>
        </w:rPr>
        <w:t xml:space="preserve">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842"/>
        <w:ind w:right="2"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5.  </w:t>
      </w:r>
      <w:r>
        <w:rPr>
          <w:sz w:val="28"/>
          <w:szCs w:val="28"/>
        </w:rPr>
        <w:t xml:space="preserve">Настоящий приказ вступает в силу со дня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2"/>
        <w:ind w:left="-226" w:right="2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2"/>
        <w:ind w:left="-226" w:right="2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53"/>
        <w:gridCol w:w="5068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3" w:type="dxa"/>
            <w:vAlign w:val="top"/>
            <w:textDirection w:val="lrTb"/>
            <w:noWrap w:val="false"/>
          </w:tcPr>
          <w:p>
            <w:pPr>
              <w:pStyle w:val="842"/>
              <w:widowControl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Заместитель председателя комитета </w:t>
              <w:br/>
              <w:t xml:space="preserve">по сохранению культурного наследия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Ленинградской области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68" w:type="dxa"/>
            <w:vAlign w:val="top"/>
            <w:textDirection w:val="lrTb"/>
            <w:noWrap w:val="false"/>
          </w:tcPr>
          <w:p>
            <w:pPr>
              <w:pStyle w:val="842"/>
              <w:jc w:val="right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2"/>
              <w:jc w:val="right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2"/>
              <w:jc w:val="right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2"/>
              <w:jc w:val="right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Г.Е. Лазарева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42"/>
        <w:rPr>
          <w:sz w:val="27"/>
          <w:szCs w:val="27"/>
        </w:rPr>
        <w:sectPr>
          <w:footnotePr/>
          <w:endnotePr/>
          <w:type w:val="continuous"/>
          <w:pgSz w:w="11909" w:h="16834" w:orient="portrait"/>
          <w:pgMar w:top="1106" w:right="567" w:bottom="1134" w:left="1134" w:header="720" w:footer="720" w:gutter="0"/>
          <w:cols w:num="1" w:sep="0" w:space="60" w:equalWidth="1"/>
          <w:docGrid w:linePitch="360"/>
        </w:sect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4820"/>
        <w:gridCol w:w="5569"/>
      </w:tblGrid>
      <w:tr>
        <w:tblPrEx/>
        <w:trPr>
          <w:trHeight w:val="158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vAlign w:val="top"/>
            <w:textDirection w:val="lrTb"/>
            <w:noWrap w:val="false"/>
          </w:tcPr>
          <w:p>
            <w:pPr>
              <w:pStyle w:val="842"/>
              <w:rPr>
                <w:sz w:val="27"/>
                <w:szCs w:val="27"/>
              </w:rPr>
            </w:pPr>
            <w:r>
              <w:br w:type="page" w:clear="all"/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569" w:type="dxa"/>
            <w:vAlign w:val="top"/>
            <w:textDirection w:val="lrTb"/>
            <w:noWrap w:val="false"/>
          </w:tcPr>
          <w:p>
            <w:pPr>
              <w:pStyle w:val="842"/>
              <w:ind w:left="885"/>
              <w:jc w:val="center"/>
              <w:widowControl/>
              <w:tabs>
                <w:tab w:val="left" w:pos="993" w:leader="none"/>
                <w:tab w:val="left" w:pos="6237" w:leader="none"/>
              </w:tabs>
              <w:rPr>
                <w:b/>
                <w:sz w:val="24"/>
                <w:szCs w:val="27"/>
                <w:lang w:eastAsia="en-US"/>
              </w:rPr>
            </w:pPr>
            <w:r>
              <w:rPr>
                <w:b/>
                <w:sz w:val="24"/>
                <w:szCs w:val="27"/>
                <w:lang w:eastAsia="en-US"/>
              </w:rPr>
              <w:t xml:space="preserve">УТВЕРЖДЕН</w:t>
            </w:r>
            <w:r>
              <w:rPr>
                <w:b/>
                <w:sz w:val="24"/>
                <w:szCs w:val="27"/>
                <w:lang w:eastAsia="en-US"/>
              </w:rPr>
            </w:r>
            <w:r>
              <w:rPr>
                <w:b/>
                <w:sz w:val="24"/>
                <w:szCs w:val="27"/>
                <w:lang w:eastAsia="en-US"/>
              </w:rPr>
            </w:r>
          </w:p>
          <w:p>
            <w:pPr>
              <w:pStyle w:val="842"/>
              <w:ind w:left="885"/>
              <w:jc w:val="center"/>
              <w:widowControl/>
              <w:tabs>
                <w:tab w:val="left" w:pos="993" w:leader="none"/>
                <w:tab w:val="left" w:pos="6237" w:leader="none"/>
              </w:tabs>
              <w:rPr>
                <w:sz w:val="24"/>
                <w:szCs w:val="27"/>
                <w:lang w:eastAsia="en-US"/>
              </w:rPr>
            </w:pPr>
            <w:r>
              <w:rPr>
                <w:sz w:val="24"/>
                <w:szCs w:val="27"/>
                <w:lang w:eastAsia="en-US"/>
              </w:rPr>
              <w:t xml:space="preserve">Приказом комитета по сохранению культурного наследия </w:t>
            </w:r>
            <w:r>
              <w:rPr>
                <w:sz w:val="24"/>
                <w:szCs w:val="27"/>
                <w:lang w:eastAsia="en-US"/>
              </w:rPr>
            </w:r>
            <w:r>
              <w:rPr>
                <w:sz w:val="24"/>
                <w:szCs w:val="27"/>
                <w:lang w:eastAsia="en-US"/>
              </w:rPr>
            </w:r>
          </w:p>
          <w:p>
            <w:pPr>
              <w:pStyle w:val="842"/>
              <w:ind w:left="885"/>
              <w:jc w:val="center"/>
              <w:widowControl/>
              <w:tabs>
                <w:tab w:val="left" w:pos="993" w:leader="none"/>
                <w:tab w:val="left" w:pos="6237" w:leader="none"/>
              </w:tabs>
              <w:rPr>
                <w:sz w:val="24"/>
                <w:szCs w:val="27"/>
                <w:lang w:eastAsia="en-US"/>
              </w:rPr>
            </w:pPr>
            <w:r>
              <w:rPr>
                <w:sz w:val="24"/>
                <w:szCs w:val="27"/>
                <w:lang w:eastAsia="en-US"/>
              </w:rPr>
              <w:t xml:space="preserve">Ленинградской области</w:t>
            </w:r>
            <w:r>
              <w:rPr>
                <w:sz w:val="24"/>
                <w:szCs w:val="27"/>
                <w:lang w:eastAsia="en-US"/>
              </w:rPr>
            </w:r>
            <w:r>
              <w:rPr>
                <w:sz w:val="24"/>
                <w:szCs w:val="27"/>
                <w:lang w:eastAsia="en-US"/>
              </w:rPr>
            </w:r>
          </w:p>
          <w:p>
            <w:pPr>
              <w:pStyle w:val="842"/>
              <w:ind w:left="885"/>
              <w:jc w:val="center"/>
              <w:widowControl/>
              <w:tabs>
                <w:tab w:val="left" w:pos="993" w:leader="none"/>
                <w:tab w:val="left" w:pos="6237" w:leader="none"/>
              </w:tabs>
              <w:rPr>
                <w:sz w:val="24"/>
                <w:szCs w:val="27"/>
                <w:lang w:eastAsia="en-US"/>
              </w:rPr>
            </w:pPr>
            <w:r>
              <w:rPr>
                <w:sz w:val="24"/>
                <w:szCs w:val="27"/>
                <w:lang w:eastAsia="en-US"/>
              </w:rPr>
              <w:t xml:space="preserve">от________________________ №________________________</w:t>
            </w:r>
            <w:r>
              <w:rPr>
                <w:sz w:val="24"/>
                <w:szCs w:val="27"/>
                <w:lang w:eastAsia="en-US"/>
              </w:rPr>
            </w:r>
            <w:r>
              <w:rPr>
                <w:sz w:val="24"/>
                <w:szCs w:val="27"/>
                <w:lang w:eastAsia="en-US"/>
              </w:rPr>
            </w:r>
          </w:p>
          <w:p>
            <w:pPr>
              <w:pStyle w:val="842"/>
              <w:ind w:left="885"/>
              <w:rPr>
                <w:sz w:val="27"/>
                <w:szCs w:val="27"/>
              </w:rPr>
            </w:pPr>
            <w:r>
              <w:rPr>
                <w:sz w:val="24"/>
                <w:szCs w:val="27"/>
                <w:lang w:eastAsia="en-US"/>
              </w:rPr>
              <w:t xml:space="preserve">                          (</w:t>
            </w:r>
            <w:r>
              <w:rPr>
                <w:sz w:val="24"/>
                <w:szCs w:val="27"/>
                <w:lang w:eastAsia="en-US"/>
              </w:rPr>
              <w:t xml:space="preserve">приложение № 1)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</w:tbl>
    <w:p>
      <w:pPr>
        <w:pStyle w:val="842"/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42"/>
        <w:jc w:val="center"/>
        <w:widowControl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С</w:t>
      </w:r>
      <w:r>
        <w:rPr>
          <w:b/>
          <w:sz w:val="24"/>
          <w:szCs w:val="24"/>
        </w:rPr>
        <w:t xml:space="preserve">остав комиссии по установлению историко-культурной ценности объекта,</w:t>
      </w:r>
      <w:r>
        <w:rPr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обладающего признаками объекта культурного наследия, </w:t>
      </w:r>
      <w:r>
        <w:rPr>
          <w:b/>
          <w:bCs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Здание кирхи прихода Каннельярви</w:t>
      </w:r>
      <w:r>
        <w:rPr>
          <w:b/>
          <w:bCs/>
          <w:sz w:val="24"/>
          <w:szCs w:val="24"/>
          <w:highlight w:val="none"/>
        </w:rPr>
        <w:t xml:space="preserve">»</w:t>
      </w:r>
      <w:r>
        <w:rPr>
          <w:b/>
          <w:bCs/>
          <w:sz w:val="24"/>
          <w:szCs w:val="24"/>
          <w:highlight w:val="none"/>
        </w:rPr>
        <w:t xml:space="preserve">, </w:t>
      </w:r>
      <w:r>
        <w:rPr>
          <w:b/>
          <w:bCs/>
          <w:sz w:val="24"/>
          <w:szCs w:val="24"/>
          <w:highlight w:val="none"/>
        </w:rPr>
        <w:t xml:space="preserve">расположенного по адресу: </w:t>
      </w:r>
      <w:r>
        <w:rPr>
          <w:rFonts w:eastAsia="Calibri"/>
          <w:b/>
          <w:bCs/>
          <w:sz w:val="24"/>
          <w:szCs w:val="24"/>
          <w:highlight w:val="none"/>
        </w:rPr>
        <w:t xml:space="preserve">Ленинградская область,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Выборгский район, Рощинское городское поселение, посёлок Победа, улица Мира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tbl>
      <w:tblPr>
        <w:tblW w:w="10774" w:type="dxa"/>
        <w:tblInd w:w="-3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3136"/>
        <w:gridCol w:w="286"/>
        <w:gridCol w:w="6926"/>
        <w:gridCol w:w="426"/>
      </w:tblGrid>
      <w:tr>
        <w:tblPrEx/>
        <w:trPr/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774" w:type="dxa"/>
            <w:vAlign w:val="top"/>
            <w:textDirection w:val="lrTb"/>
            <w:noWrap w:val="false"/>
          </w:tcPr>
          <w:p>
            <w:pPr>
              <w:pStyle w:val="8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Председатель комиссии: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  <w:trHeight w:val="222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36" w:type="dxa"/>
            <w:vAlign w:val="top"/>
            <w:textDirection w:val="lrTb"/>
            <w:noWrap w:val="false"/>
          </w:tcPr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Лазарева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Галина Ефимовна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Члены комиссии: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Риннус </w:t>
              <w:br w:type="textWrapping" w:clear="all"/>
              <w:t xml:space="preserve">Мария Евгеньевна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6" w:type="dxa"/>
            <w:vAlign w:val="top"/>
            <w:textDirection w:val="lrTb"/>
            <w:noWrap w:val="false"/>
          </w:tcPr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  <w:t xml:space="preserve">-</w:t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  <w:t xml:space="preserve">-</w:t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26" w:type="dxa"/>
            <w:vAlign w:val="top"/>
            <w:textDirection w:val="lrTb"/>
            <w:noWrap w:val="false"/>
          </w:tcPr>
          <w:p>
            <w:pPr>
              <w:pStyle w:val="8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председателя комитета по сохранению культурного наследия Ленинградской области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по осуществлению полномочий Ленинградской области в сфере объектов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комитета по сохранению культурного наследия Ленинградской области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  <w:trHeight w:val="86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36" w:type="dxa"/>
            <w:vAlign w:val="top"/>
            <w:textDirection w:val="lrTb"/>
            <w:noWrap w:val="false"/>
          </w:tcPr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Карпакова Ольга Юрьевна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6" w:type="dxa"/>
            <w:vAlign w:val="top"/>
            <w:textDirection w:val="lrTb"/>
            <w:noWrap w:val="false"/>
          </w:tcPr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  <w:t xml:space="preserve">-</w:t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26" w:type="dxa"/>
            <w:vAlign w:val="top"/>
            <w:textDirection w:val="lrTb"/>
            <w:noWrap w:val="false"/>
          </w:tcPr>
          <w:p>
            <w:pPr>
              <w:pStyle w:val="8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Президиума Санкт-Петербургского городского отделения </w:t>
            </w:r>
            <w:r>
              <w:rPr>
                <w:sz w:val="24"/>
                <w:szCs w:val="24"/>
              </w:rPr>
              <w:t xml:space="preserve">Всероссийской общественной организации «Всероссийское общество охраны памятников истории и культуры»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  <w:trHeight w:val="86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36" w:type="dxa"/>
            <w:vAlign w:val="top"/>
            <w:textDirection w:val="lrTb"/>
            <w:noWrap w:val="false"/>
          </w:tcPr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Шилова Кристина Владимировна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6" w:type="dxa"/>
            <w:vAlign w:val="top"/>
            <w:textDirection w:val="lrTb"/>
            <w:noWrap w:val="false"/>
          </w:tcPr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  <w:t xml:space="preserve">-</w:t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26" w:type="dxa"/>
            <w:vAlign w:val="top"/>
            <w:textDirection w:val="lrTb"/>
            <w:noWrap w:val="false"/>
          </w:tcPr>
          <w:p>
            <w:pPr>
              <w:pStyle w:val="8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член Ленинградского областного отделения Всероссийской общественной организации «Всероссийское общество охраны памятников истории  и культуры»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  <w:trHeight w:val="86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36" w:type="dxa"/>
            <w:vAlign w:val="top"/>
            <w:textDirection w:val="lrTb"/>
            <w:noWrap w:val="false"/>
          </w:tcPr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Светник Григорий Игоревич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6" w:type="dxa"/>
            <w:vAlign w:val="top"/>
            <w:textDirection w:val="lrTb"/>
            <w:noWrap w:val="false"/>
          </w:tcPr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  <w:t xml:space="preserve">-</w:t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26" w:type="dxa"/>
            <w:vAlign w:val="top"/>
            <w:textDirection w:val="lrTb"/>
            <w:noWrap w:val="false"/>
          </w:tcPr>
          <w:p>
            <w:pPr>
              <w:pStyle w:val="8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уполномоченный представитель администрации Выборгского муниципального района </w:t>
            </w:r>
            <w:r>
              <w:rPr>
                <w:sz w:val="24"/>
                <w:szCs w:val="24"/>
              </w:rPr>
              <w:t xml:space="preserve">Ленинградской области; </w:t>
            </w:r>
            <w:r>
              <w:rPr>
                <w:sz w:val="24"/>
                <w:szCs w:val="24"/>
              </w:rPr>
              <w:t xml:space="preserve">заместитель председателя комитета по архитектуре и градостроительству – главный архитектор КУМИГ администрации Выборгского муниципального района Ленинградской области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  <w:trHeight w:val="86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36" w:type="dxa"/>
            <w:vAlign w:val="top"/>
            <w:vMerge w:val="restart"/>
            <w:textDirection w:val="lrTb"/>
            <w:noWrap w:val="false"/>
          </w:tcPr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Смирнов Дмитрий Владимирович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6" w:type="dxa"/>
            <w:vAlign w:val="top"/>
            <w:vMerge w:val="restart"/>
            <w:textDirection w:val="lrTb"/>
            <w:noWrap w:val="false"/>
          </w:tcPr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26" w:type="dxa"/>
            <w:vAlign w:val="top"/>
            <w:vMerge w:val="restart"/>
            <w:textDirection w:val="lrTb"/>
            <w:noWrap w:val="false"/>
          </w:tcPr>
          <w:p>
            <w:pPr>
              <w:pStyle w:val="84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уполномоченный представитель администрации Выборгского муниципального района </w:t>
            </w:r>
            <w:r>
              <w:rPr>
                <w:sz w:val="24"/>
                <w:szCs w:val="24"/>
              </w:rPr>
              <w:t xml:space="preserve">Ленинградской области; </w:t>
            </w:r>
            <w:r>
              <w:rPr>
                <w:sz w:val="24"/>
                <w:szCs w:val="24"/>
              </w:rPr>
              <w:t xml:space="preserve">главный специалист сектора по управлению муниципальным имуществом администрации Рощинского городского поселения Выборгского муниципального района Ленинградской области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  <w:trHeight w:val="86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36" w:type="dxa"/>
            <w:vAlign w:val="top"/>
            <w:textDirection w:val="lrTb"/>
            <w:noWrap w:val="false"/>
          </w:tcPr>
          <w:p>
            <w:pPr>
              <w:pStyle w:val="8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согласованию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6" w:type="dxa"/>
            <w:vAlign w:val="top"/>
            <w:textDirection w:val="lrTb"/>
            <w:noWrap w:val="false"/>
          </w:tcPr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  <w:t xml:space="preserve">-</w:t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  <w:p>
            <w:pPr>
              <w:pStyle w:val="842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  <w:r>
              <w:rPr>
                <w:strike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26" w:type="dxa"/>
            <w:vAlign w:val="top"/>
            <w:textDirection w:val="lrTb"/>
            <w:noWrap w:val="false"/>
          </w:tcPr>
          <w:p>
            <w:pPr>
              <w:pStyle w:val="8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представитель собственника объекта, обладающего признаками объекта культурного наследия </w:t>
            </w:r>
            <w:r>
              <w:rPr>
                <w:sz w:val="24"/>
                <w:szCs w:val="24"/>
              </w:rPr>
              <w:t xml:space="preserve">Централизованная религиозная организация «Российская Лютеранская Церковь»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42"/>
        <w:ind w:right="142"/>
        <w:jc w:val="both"/>
        <w:sectPr>
          <w:footnotePr/>
          <w:endnotePr/>
          <w:type w:val="nextPage"/>
          <w:pgSz w:w="11909" w:h="16834" w:orient="portrait"/>
          <w:pgMar w:top="709" w:right="567" w:bottom="851" w:left="1134" w:header="720" w:footer="720" w:gutter="0"/>
          <w:cols w:num="1" w:sep="0" w:space="60" w:equalWidth="1"/>
          <w:docGrid w:linePitch="360"/>
        </w:sectPr>
      </w:pPr>
      <w:r/>
      <w:r/>
    </w:p>
    <w:tbl>
      <w:tblPr>
        <w:tblW w:w="10774" w:type="dxa"/>
        <w:tblInd w:w="-3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4999"/>
        <w:gridCol w:w="5775"/>
      </w:tblGrid>
      <w:tr>
        <w:tblPrEx/>
        <w:trPr>
          <w:trHeight w:val="158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vAlign w:val="top"/>
            <w:textDirection w:val="lrTb"/>
            <w:noWrap w:val="false"/>
          </w:tcPr>
          <w:p>
            <w:pPr>
              <w:pStyle w:val="842"/>
              <w:rPr>
                <w:sz w:val="27"/>
                <w:szCs w:val="27"/>
              </w:rPr>
            </w:pPr>
            <w:r>
              <w:rPr>
                <w:sz w:val="24"/>
                <w:szCs w:val="24"/>
              </w:rPr>
              <w:br w:type="page" w:clear="all"/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569" w:type="dxa"/>
            <w:vAlign w:val="top"/>
            <w:textDirection w:val="lrTb"/>
            <w:noWrap w:val="false"/>
          </w:tcPr>
          <w:p>
            <w:pPr>
              <w:pStyle w:val="842"/>
              <w:ind w:left="885"/>
              <w:jc w:val="center"/>
              <w:widowControl/>
              <w:tabs>
                <w:tab w:val="left" w:pos="993" w:leader="none"/>
                <w:tab w:val="left" w:pos="6237" w:leader="none"/>
              </w:tabs>
              <w:rPr>
                <w:b/>
                <w:sz w:val="24"/>
                <w:szCs w:val="27"/>
                <w:lang w:eastAsia="en-US"/>
              </w:rPr>
            </w:pPr>
            <w:r>
              <w:rPr>
                <w:b/>
                <w:sz w:val="24"/>
                <w:szCs w:val="27"/>
                <w:lang w:eastAsia="en-US"/>
              </w:rPr>
              <w:t xml:space="preserve">УТВЕРЖДЕН</w:t>
            </w:r>
            <w:r>
              <w:rPr>
                <w:b/>
                <w:sz w:val="24"/>
                <w:szCs w:val="27"/>
                <w:lang w:eastAsia="en-US"/>
              </w:rPr>
            </w:r>
            <w:r>
              <w:rPr>
                <w:b/>
                <w:sz w:val="24"/>
                <w:szCs w:val="27"/>
                <w:lang w:eastAsia="en-US"/>
              </w:rPr>
            </w:r>
          </w:p>
          <w:p>
            <w:pPr>
              <w:pStyle w:val="842"/>
              <w:ind w:left="885"/>
              <w:jc w:val="center"/>
              <w:widowControl/>
              <w:tabs>
                <w:tab w:val="left" w:pos="993" w:leader="none"/>
                <w:tab w:val="left" w:pos="6237" w:leader="none"/>
              </w:tabs>
              <w:rPr>
                <w:sz w:val="24"/>
                <w:szCs w:val="27"/>
                <w:lang w:eastAsia="en-US"/>
              </w:rPr>
            </w:pPr>
            <w:r>
              <w:rPr>
                <w:sz w:val="24"/>
                <w:szCs w:val="27"/>
                <w:lang w:eastAsia="en-US"/>
              </w:rPr>
              <w:t xml:space="preserve">Приказом комитета по сохранению культурного наследия </w:t>
            </w:r>
            <w:r>
              <w:rPr>
                <w:sz w:val="24"/>
                <w:szCs w:val="27"/>
                <w:lang w:eastAsia="en-US"/>
              </w:rPr>
            </w:r>
            <w:r>
              <w:rPr>
                <w:sz w:val="24"/>
                <w:szCs w:val="27"/>
                <w:lang w:eastAsia="en-US"/>
              </w:rPr>
            </w:r>
          </w:p>
          <w:p>
            <w:pPr>
              <w:pStyle w:val="842"/>
              <w:ind w:left="885"/>
              <w:jc w:val="center"/>
              <w:widowControl/>
              <w:tabs>
                <w:tab w:val="left" w:pos="993" w:leader="none"/>
                <w:tab w:val="left" w:pos="6237" w:leader="none"/>
              </w:tabs>
              <w:rPr>
                <w:sz w:val="24"/>
                <w:szCs w:val="27"/>
                <w:lang w:eastAsia="en-US"/>
              </w:rPr>
            </w:pPr>
            <w:r>
              <w:rPr>
                <w:sz w:val="24"/>
                <w:szCs w:val="27"/>
                <w:lang w:eastAsia="en-US"/>
              </w:rPr>
              <w:t xml:space="preserve">Ленинградской области</w:t>
            </w:r>
            <w:r>
              <w:rPr>
                <w:sz w:val="24"/>
                <w:szCs w:val="27"/>
                <w:lang w:eastAsia="en-US"/>
              </w:rPr>
            </w:r>
            <w:r>
              <w:rPr>
                <w:sz w:val="24"/>
                <w:szCs w:val="27"/>
                <w:lang w:eastAsia="en-US"/>
              </w:rPr>
            </w:r>
          </w:p>
          <w:p>
            <w:pPr>
              <w:pStyle w:val="842"/>
              <w:ind w:left="885"/>
              <w:jc w:val="center"/>
              <w:widowControl/>
              <w:tabs>
                <w:tab w:val="left" w:pos="993" w:leader="none"/>
                <w:tab w:val="left" w:pos="6237" w:leader="none"/>
              </w:tabs>
              <w:rPr>
                <w:sz w:val="24"/>
                <w:szCs w:val="27"/>
                <w:lang w:eastAsia="en-US"/>
              </w:rPr>
            </w:pPr>
            <w:r>
              <w:rPr>
                <w:sz w:val="24"/>
                <w:szCs w:val="27"/>
                <w:lang w:eastAsia="en-US"/>
              </w:rPr>
              <w:t xml:space="preserve">от________________________ №________________________</w:t>
            </w:r>
            <w:r>
              <w:rPr>
                <w:sz w:val="24"/>
                <w:szCs w:val="27"/>
                <w:lang w:eastAsia="en-US"/>
              </w:rPr>
            </w:r>
            <w:r>
              <w:rPr>
                <w:sz w:val="24"/>
                <w:szCs w:val="27"/>
                <w:lang w:eastAsia="en-US"/>
              </w:rPr>
            </w:r>
          </w:p>
          <w:p>
            <w:pPr>
              <w:pStyle w:val="842"/>
              <w:ind w:left="885"/>
              <w:rPr>
                <w:sz w:val="27"/>
                <w:szCs w:val="27"/>
              </w:rPr>
            </w:pPr>
            <w:r>
              <w:rPr>
                <w:sz w:val="24"/>
                <w:szCs w:val="27"/>
                <w:lang w:eastAsia="en-US"/>
              </w:rPr>
              <w:t xml:space="preserve">                    </w:t>
            </w:r>
            <w:r>
              <w:rPr>
                <w:sz w:val="24"/>
                <w:szCs w:val="27"/>
                <w:lang w:eastAsia="en-US"/>
              </w:rPr>
              <w:t xml:space="preserve">     </w:t>
            </w:r>
            <w:r>
              <w:rPr>
                <w:sz w:val="24"/>
                <w:szCs w:val="27"/>
                <w:lang w:eastAsia="en-US"/>
              </w:rPr>
              <w:t xml:space="preserve">(приложение № 2</w:t>
            </w:r>
            <w:r>
              <w:rPr>
                <w:sz w:val="24"/>
                <w:szCs w:val="27"/>
                <w:lang w:eastAsia="en-US"/>
              </w:rPr>
              <w:t xml:space="preserve">)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</w:tbl>
    <w:p>
      <w:pPr>
        <w:pStyle w:val="842"/>
        <w:jc w:val="center"/>
        <w:widowControl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842"/>
        <w:jc w:val="center"/>
        <w:widowControl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Порядок организации деятельности </w:t>
      </w:r>
      <w:r>
        <w:rPr>
          <w:rFonts w:eastAsia="Calibri"/>
          <w:b/>
          <w:sz w:val="24"/>
          <w:szCs w:val="24"/>
          <w:lang w:eastAsia="en-US"/>
        </w:rPr>
        <w:t xml:space="preserve">комиссии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установлению историко-культурной ценности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объекта, обладающего признаками объекта культурного наследия, </w:t>
        <w:br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«Здание кирхи прихода Каннельярви», расположенного по адресу: Ленинградская область, Выборгский район, Рощинское городское поселение, </w:t>
        <w:br/>
        <w:t xml:space="preserve">посёлок Победа, улица Мира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pStyle w:val="842"/>
        <w:ind w:left="284" w:right="283"/>
        <w:jc w:val="center"/>
        <w:spacing w:after="200" w:line="276" w:lineRule="auto"/>
        <w:widowControl/>
        <w:tabs>
          <w:tab w:val="left" w:pos="3261" w:leader="none"/>
        </w:tabs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</w:t>
      </w: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842"/>
        <w:ind w:firstLine="851"/>
        <w:jc w:val="both"/>
        <w:widowControl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1. Заседание комиссии по установлению историко-культурной ценности объекта</w:t>
      </w:r>
      <w:r>
        <w:rPr>
          <w:rFonts w:eastAsia="Calibri"/>
          <w:sz w:val="24"/>
          <w:szCs w:val="24"/>
          <w:lang w:eastAsia="en-US"/>
        </w:rPr>
        <w:t xml:space="preserve">, обладающего признаками объекта культурного наследия,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 xml:space="preserve">указанного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п. 1 настоящего приказа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(далее - Комиссия), является легитимным, если на нем присутствует не менее двух третей членов состава Комиссии.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pStyle w:val="842"/>
        <w:ind w:firstLine="851"/>
        <w:jc w:val="both"/>
        <w:widowControl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 Решения Комиссии принимаются открытым голосованием. Решение Комиссии считается принятым, если за него проголосовала половина или более членов Комиссии, присутствующих на заседании.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pStyle w:val="842"/>
        <w:ind w:firstLine="851"/>
        <w:jc w:val="both"/>
        <w:widowControl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3. Комиссия принимает решения на основан</w:t>
      </w:r>
      <w:r>
        <w:rPr>
          <w:rFonts w:eastAsia="Calibri"/>
          <w:sz w:val="24"/>
          <w:szCs w:val="24"/>
          <w:lang w:eastAsia="en-US"/>
        </w:rPr>
        <w:t xml:space="preserve">ии критериев историко-культурной ценности объектов, обладающих признаками объекта культурного наследия, расположенных на территории Ленинградской области, согласно приложению к приказу комитета по культуре Ленинградской области от 24.07.2017 № 01-03/17-64.</w:t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pStyle w:val="842"/>
        <w:contextualSpacing/>
        <w:ind w:right="567"/>
        <w:jc w:val="both"/>
        <w:spacing w:after="200" w:line="276" w:lineRule="auto"/>
        <w:widowControl/>
        <w:tabs>
          <w:tab w:val="left" w:pos="3261" w:leader="none"/>
        </w:tabs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pStyle w:val="842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42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1909" w:h="16834" w:orient="portrait"/>
      <w:pgMar w:top="709" w:right="567" w:bottom="709" w:left="1134" w:header="720" w:footer="720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Verdana">
    <w:panose1 w:val="020B0604030504040204"/>
  </w:font>
  <w:font w:name="Calibri">
    <w:panose1 w:val="020F0502020204030204"/>
  </w:font>
  <w:font w:name="MS Mincho">
    <w:panose1 w:val="02070609020205090404"/>
  </w:font>
  <w:font w:name="Tahoma">
    <w:panose1 w:val="020B0604030504040204"/>
  </w:font>
  <w:font w:name="Franklin Gothic Book">
    <w:panose1 w:val="020B0603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9" w:hanging="108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9" w:hanging="108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9" w:hanging="108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5">
    <w:name w:val="Heading 1"/>
    <w:basedOn w:val="842"/>
    <w:next w:val="842"/>
    <w:link w:val="66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6">
    <w:name w:val="Heading 1 Char"/>
    <w:link w:val="66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7">
    <w:name w:val="Heading 2"/>
    <w:basedOn w:val="842"/>
    <w:next w:val="842"/>
    <w:link w:val="66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8">
    <w:name w:val="Heading 2 Char"/>
    <w:link w:val="667"/>
    <w:uiPriority w:val="9"/>
    <w:rPr>
      <w:rFonts w:ascii="Liberation Sans" w:hAnsi="Liberation Sans" w:eastAsia="Liberation Sans" w:cs="Liberation Sans"/>
      <w:sz w:val="34"/>
    </w:rPr>
  </w:style>
  <w:style w:type="paragraph" w:styleId="669">
    <w:name w:val="Heading 3"/>
    <w:basedOn w:val="842"/>
    <w:next w:val="842"/>
    <w:link w:val="67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0">
    <w:name w:val="Heading 3 Char"/>
    <w:link w:val="66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1">
    <w:name w:val="Heading 4"/>
    <w:basedOn w:val="842"/>
    <w:next w:val="842"/>
    <w:link w:val="67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2">
    <w:name w:val="Heading 4 Char"/>
    <w:link w:val="67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3">
    <w:name w:val="Heading 5"/>
    <w:basedOn w:val="842"/>
    <w:next w:val="842"/>
    <w:link w:val="67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4">
    <w:name w:val="Heading 5 Char"/>
    <w:link w:val="67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5">
    <w:name w:val="Heading 6"/>
    <w:basedOn w:val="842"/>
    <w:next w:val="842"/>
    <w:link w:val="67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6">
    <w:name w:val="Heading 6 Char"/>
    <w:link w:val="67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7">
    <w:name w:val="Heading 7"/>
    <w:basedOn w:val="842"/>
    <w:next w:val="842"/>
    <w:link w:val="67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8">
    <w:name w:val="Heading 7 Char"/>
    <w:link w:val="67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9">
    <w:name w:val="Heading 8"/>
    <w:basedOn w:val="842"/>
    <w:next w:val="842"/>
    <w:link w:val="68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0">
    <w:name w:val="Heading 8 Char"/>
    <w:link w:val="67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1">
    <w:name w:val="Heading 9"/>
    <w:basedOn w:val="842"/>
    <w:next w:val="842"/>
    <w:link w:val="68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2">
    <w:name w:val="Heading 9 Char"/>
    <w:link w:val="68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3">
    <w:name w:val="List Paragraph"/>
    <w:basedOn w:val="842"/>
    <w:uiPriority w:val="34"/>
    <w:qFormat/>
    <w:pPr>
      <w:contextualSpacing/>
      <w:ind w:left="720"/>
    </w:pPr>
  </w:style>
  <w:style w:type="paragraph" w:styleId="684">
    <w:name w:val="Title"/>
    <w:basedOn w:val="842"/>
    <w:next w:val="842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>
    <w:name w:val="Title Char"/>
    <w:link w:val="684"/>
    <w:uiPriority w:val="10"/>
    <w:rPr>
      <w:sz w:val="48"/>
      <w:szCs w:val="48"/>
    </w:rPr>
  </w:style>
  <w:style w:type="paragraph" w:styleId="686">
    <w:name w:val="Subtitle"/>
    <w:basedOn w:val="842"/>
    <w:next w:val="842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link w:val="686"/>
    <w:uiPriority w:val="11"/>
    <w:rPr>
      <w:sz w:val="24"/>
      <w:szCs w:val="24"/>
    </w:rPr>
  </w:style>
  <w:style w:type="paragraph" w:styleId="688">
    <w:name w:val="Quote"/>
    <w:basedOn w:val="842"/>
    <w:next w:val="842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2"/>
    <w:next w:val="842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2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Header Char"/>
    <w:link w:val="692"/>
    <w:uiPriority w:val="99"/>
  </w:style>
  <w:style w:type="paragraph" w:styleId="694">
    <w:name w:val="Footer"/>
    <w:basedOn w:val="842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Footer Char"/>
    <w:link w:val="694"/>
    <w:uiPriority w:val="99"/>
  </w:style>
  <w:style w:type="paragraph" w:styleId="696">
    <w:name w:val="Caption"/>
    <w:basedOn w:val="842"/>
    <w:next w:val="842"/>
    <w:link w:val="69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link w:val="696"/>
    <w:uiPriority w:val="35"/>
    <w:rPr>
      <w:b/>
      <w:bCs/>
      <w:color w:val="4f81bd" w:themeColor="accent1"/>
      <w:sz w:val="18"/>
      <w:szCs w:val="18"/>
    </w:rPr>
  </w:style>
  <w:style w:type="table" w:styleId="69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0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0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0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0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000ff" w:themeColor="hyperlink"/>
      <w:u w:val="single"/>
    </w:rPr>
  </w:style>
  <w:style w:type="paragraph" w:styleId="825">
    <w:name w:val="footnote text"/>
    <w:basedOn w:val="842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>
    <w:name w:val="Footnote Text Char"/>
    <w:link w:val="825"/>
    <w:uiPriority w:val="99"/>
    <w:rPr>
      <w:sz w:val="18"/>
    </w:rPr>
  </w:style>
  <w:style w:type="character" w:styleId="827">
    <w:name w:val="footnote reference"/>
    <w:uiPriority w:val="99"/>
    <w:unhideWhenUsed/>
    <w:rPr>
      <w:vertAlign w:val="superscript"/>
    </w:rPr>
  </w:style>
  <w:style w:type="paragraph" w:styleId="828">
    <w:name w:val="endnote text"/>
    <w:basedOn w:val="842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>
    <w:name w:val="Endnote Text Char"/>
    <w:link w:val="828"/>
    <w:uiPriority w:val="99"/>
    <w:rPr>
      <w:sz w:val="20"/>
    </w:rPr>
  </w:style>
  <w:style w:type="character" w:styleId="830">
    <w:name w:val="endnote reference"/>
    <w:uiPriority w:val="99"/>
    <w:semiHidden/>
    <w:unhideWhenUsed/>
    <w:rPr>
      <w:vertAlign w:val="superscript"/>
    </w:rPr>
  </w:style>
  <w:style w:type="paragraph" w:styleId="831">
    <w:name w:val="toc 1"/>
    <w:basedOn w:val="842"/>
    <w:next w:val="842"/>
    <w:uiPriority w:val="39"/>
    <w:unhideWhenUsed/>
    <w:pPr>
      <w:ind w:left="0" w:right="0" w:firstLine="0"/>
      <w:spacing w:after="57"/>
    </w:pPr>
  </w:style>
  <w:style w:type="paragraph" w:styleId="832">
    <w:name w:val="toc 2"/>
    <w:basedOn w:val="842"/>
    <w:next w:val="842"/>
    <w:uiPriority w:val="39"/>
    <w:unhideWhenUsed/>
    <w:pPr>
      <w:ind w:left="283" w:right="0" w:firstLine="0"/>
      <w:spacing w:after="57"/>
    </w:pPr>
  </w:style>
  <w:style w:type="paragraph" w:styleId="833">
    <w:name w:val="toc 3"/>
    <w:basedOn w:val="842"/>
    <w:next w:val="842"/>
    <w:uiPriority w:val="39"/>
    <w:unhideWhenUsed/>
    <w:pPr>
      <w:ind w:left="567" w:right="0" w:firstLine="0"/>
      <w:spacing w:after="57"/>
    </w:pPr>
  </w:style>
  <w:style w:type="paragraph" w:styleId="834">
    <w:name w:val="toc 4"/>
    <w:basedOn w:val="842"/>
    <w:next w:val="842"/>
    <w:uiPriority w:val="39"/>
    <w:unhideWhenUsed/>
    <w:pPr>
      <w:ind w:left="850" w:right="0" w:firstLine="0"/>
      <w:spacing w:after="57"/>
    </w:pPr>
  </w:style>
  <w:style w:type="paragraph" w:styleId="835">
    <w:name w:val="toc 5"/>
    <w:basedOn w:val="842"/>
    <w:next w:val="842"/>
    <w:uiPriority w:val="39"/>
    <w:unhideWhenUsed/>
    <w:pPr>
      <w:ind w:left="1134" w:right="0" w:firstLine="0"/>
      <w:spacing w:after="57"/>
    </w:pPr>
  </w:style>
  <w:style w:type="paragraph" w:styleId="836">
    <w:name w:val="toc 6"/>
    <w:basedOn w:val="842"/>
    <w:next w:val="842"/>
    <w:uiPriority w:val="39"/>
    <w:unhideWhenUsed/>
    <w:pPr>
      <w:ind w:left="1417" w:right="0" w:firstLine="0"/>
      <w:spacing w:after="57"/>
    </w:pPr>
  </w:style>
  <w:style w:type="paragraph" w:styleId="837">
    <w:name w:val="toc 7"/>
    <w:basedOn w:val="842"/>
    <w:next w:val="842"/>
    <w:uiPriority w:val="39"/>
    <w:unhideWhenUsed/>
    <w:pPr>
      <w:ind w:left="1701" w:right="0" w:firstLine="0"/>
      <w:spacing w:after="57"/>
    </w:pPr>
  </w:style>
  <w:style w:type="paragraph" w:styleId="838">
    <w:name w:val="toc 8"/>
    <w:basedOn w:val="842"/>
    <w:next w:val="842"/>
    <w:uiPriority w:val="39"/>
    <w:unhideWhenUsed/>
    <w:pPr>
      <w:ind w:left="1984" w:right="0" w:firstLine="0"/>
      <w:spacing w:after="57"/>
    </w:pPr>
  </w:style>
  <w:style w:type="paragraph" w:styleId="839">
    <w:name w:val="toc 9"/>
    <w:basedOn w:val="842"/>
    <w:next w:val="842"/>
    <w:uiPriority w:val="39"/>
    <w:unhideWhenUsed/>
    <w:pPr>
      <w:ind w:left="2268" w:right="0" w:firstLine="0"/>
      <w:spacing w:after="57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next w:val="842"/>
    <w:link w:val="842"/>
    <w:qFormat/>
    <w:pPr>
      <w:widowControl w:val="off"/>
    </w:pPr>
    <w:rPr>
      <w:lang w:val="ru-RU" w:eastAsia="ru-RU" w:bidi="ar-SA"/>
    </w:rPr>
  </w:style>
  <w:style w:type="character" w:styleId="843">
    <w:name w:val="Основной шрифт абзаца, Знак Знак1"/>
    <w:next w:val="843"/>
    <w:link w:val="852"/>
    <w:semiHidden/>
  </w:style>
  <w:style w:type="table" w:styleId="844">
    <w:name w:val="Обычная таблица"/>
    <w:next w:val="844"/>
    <w:link w:val="842"/>
    <w:semiHidden/>
    <w:tblPr/>
  </w:style>
  <w:style w:type="numbering" w:styleId="845">
    <w:name w:val="Нет списка"/>
    <w:next w:val="845"/>
    <w:link w:val="842"/>
    <w:semiHidden/>
  </w:style>
  <w:style w:type="paragraph" w:styleId="846">
    <w:name w:val="Текст выноски"/>
    <w:basedOn w:val="842"/>
    <w:next w:val="846"/>
    <w:link w:val="842"/>
    <w:semiHidden/>
    <w:rPr>
      <w:rFonts w:ascii="Tahoma" w:hAnsi="Tahoma" w:cs="Tahoma"/>
      <w:sz w:val="16"/>
      <w:szCs w:val="16"/>
    </w:rPr>
  </w:style>
  <w:style w:type="character" w:styleId="847">
    <w:name w:val="Гиперссылка"/>
    <w:next w:val="847"/>
    <w:link w:val="842"/>
    <w:rPr>
      <w:color w:val="0000ff"/>
      <w:u w:val="single"/>
    </w:rPr>
  </w:style>
  <w:style w:type="character" w:styleId="848">
    <w:name w:val="Строгий"/>
    <w:next w:val="848"/>
    <w:link w:val="842"/>
    <w:qFormat/>
    <w:rPr>
      <w:b/>
      <w:bCs/>
    </w:rPr>
  </w:style>
  <w:style w:type="paragraph" w:styleId="849">
    <w:name w:val="Основной текст с отступом"/>
    <w:basedOn w:val="842"/>
    <w:next w:val="849"/>
    <w:link w:val="850"/>
    <w:pPr>
      <w:ind w:left="-284"/>
      <w:jc w:val="center"/>
      <w:spacing w:before="60"/>
      <w:widowControl/>
    </w:pPr>
    <w:rPr>
      <w:b/>
      <w:spacing w:val="30"/>
      <w:sz w:val="24"/>
      <w:lang w:val="en-US" w:eastAsia="en-US"/>
    </w:rPr>
  </w:style>
  <w:style w:type="character" w:styleId="850">
    <w:name w:val="Основной текст с отступом Знак"/>
    <w:next w:val="850"/>
    <w:link w:val="849"/>
    <w:rPr>
      <w:b/>
      <w:spacing w:val="30"/>
      <w:sz w:val="24"/>
      <w:lang w:val="en-US" w:eastAsia="en-US" w:bidi="ar-SA"/>
    </w:rPr>
  </w:style>
  <w:style w:type="paragraph" w:styleId="851">
    <w:name w:val="No Spacing"/>
    <w:next w:val="851"/>
    <w:link w:val="842"/>
    <w:pPr>
      <w:jc w:val="center"/>
    </w:pPr>
    <w:rPr>
      <w:rFonts w:ascii="Calibri" w:hAnsi="Calibri"/>
      <w:sz w:val="22"/>
      <w:szCs w:val="22"/>
      <w:lang w:val="ru-RU" w:eastAsia="en-US" w:bidi="ar-SA"/>
    </w:rPr>
  </w:style>
  <w:style w:type="paragraph" w:styleId="852">
    <w:name w:val="UserStyle_0"/>
    <w:basedOn w:val="842"/>
    <w:next w:val="852"/>
    <w:link w:val="843"/>
    <w:pPr>
      <w:keepLines/>
      <w:spacing w:after="160" w:line="240" w:lineRule="exact"/>
      <w:widowControl/>
    </w:pPr>
    <w:rPr>
      <w:rFonts w:ascii="Verdana" w:hAnsi="Verdana" w:eastAsia="MS Mincho" w:cs="Franklin Gothic Book"/>
      <w:lang w:val="en-US" w:eastAsia="en-US"/>
    </w:rPr>
  </w:style>
  <w:style w:type="paragraph" w:styleId="853">
    <w:name w:val="ConsPlusNonformat"/>
    <w:next w:val="853"/>
    <w:link w:val="842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854">
    <w:name w:val="Знак Знак Знак1 Знак Знак Знак Знак Знак Знак1 Знак Знак Знак Знак"/>
    <w:basedOn w:val="842"/>
    <w:next w:val="854"/>
    <w:link w:val="842"/>
    <w:pPr>
      <w:keepLines/>
      <w:spacing w:after="160" w:line="240" w:lineRule="exact"/>
      <w:widowControl/>
    </w:pPr>
    <w:rPr>
      <w:rFonts w:ascii="Verdana" w:hAnsi="Verdana" w:eastAsia="MS Mincho" w:cs="Franklin Gothic Book"/>
      <w:lang w:val="en-US" w:eastAsia="en-US"/>
    </w:rPr>
  </w:style>
  <w:style w:type="paragraph" w:styleId="855">
    <w:name w:val=" Знак Знак Знак1 Знак Знак Знак Знак Знак Знак1 Знак Знак Знак Знак"/>
    <w:basedOn w:val="842"/>
    <w:next w:val="855"/>
    <w:link w:val="842"/>
    <w:pPr>
      <w:keepLines/>
      <w:spacing w:after="160" w:line="240" w:lineRule="exact"/>
      <w:widowControl/>
    </w:pPr>
    <w:rPr>
      <w:rFonts w:ascii="Verdana" w:hAnsi="Verdana" w:eastAsia="MS Mincho" w:cs="Franklin Gothic Book"/>
      <w:lang w:val="en-US" w:eastAsia="en-US"/>
    </w:rPr>
  </w:style>
  <w:style w:type="paragraph" w:styleId="856">
    <w:name w:val="Обычный (веб)"/>
    <w:basedOn w:val="842"/>
    <w:next w:val="856"/>
    <w:link w:val="842"/>
    <w:pPr>
      <w:spacing w:before="100" w:beforeAutospacing="1" w:after="119"/>
      <w:widowControl/>
    </w:pPr>
    <w:rPr>
      <w:sz w:val="24"/>
      <w:szCs w:val="24"/>
    </w:rPr>
  </w:style>
  <w:style w:type="paragraph" w:styleId="857">
    <w:name w:val="1"/>
    <w:basedOn w:val="842"/>
    <w:next w:val="857"/>
    <w:link w:val="842"/>
    <w:pPr>
      <w:keepLines/>
      <w:spacing w:after="160" w:line="240" w:lineRule="exact"/>
      <w:widowControl/>
    </w:pPr>
    <w:rPr>
      <w:rFonts w:ascii="Verdana" w:hAnsi="Verdana" w:eastAsia="MS Mincho" w:cs="Franklin Gothic Book"/>
      <w:lang w:val="en-US" w:eastAsia="en-US"/>
    </w:rPr>
  </w:style>
  <w:style w:type="paragraph" w:styleId="858">
    <w:name w:val=" Знак Знак4 Знак Знак"/>
    <w:basedOn w:val="842"/>
    <w:next w:val="858"/>
    <w:link w:val="842"/>
    <w:pPr>
      <w:keepLines/>
      <w:spacing w:after="160" w:line="240" w:lineRule="exact"/>
      <w:widowControl/>
    </w:pPr>
    <w:rPr>
      <w:rFonts w:ascii="Verdana" w:hAnsi="Verdana" w:eastAsia="MS Mincho" w:cs="Franklin Gothic Book"/>
      <w:lang w:val="en-US" w:eastAsia="en-US"/>
    </w:rPr>
  </w:style>
  <w:style w:type="paragraph" w:styleId="859">
    <w:name w:val=" Знак Знак5 Знак Знак1"/>
    <w:basedOn w:val="842"/>
    <w:next w:val="859"/>
    <w:link w:val="842"/>
    <w:pPr>
      <w:keepLines/>
      <w:spacing w:after="160" w:line="240" w:lineRule="exact"/>
      <w:widowControl/>
    </w:pPr>
    <w:rPr>
      <w:rFonts w:ascii="Verdana" w:hAnsi="Verdana" w:eastAsia="MS Mincho" w:cs="Franklin Gothic Book"/>
      <w:lang w:val="en-US" w:eastAsia="en-US"/>
    </w:rPr>
  </w:style>
  <w:style w:type="paragraph" w:styleId="860">
    <w:name w:val="Абзац списка"/>
    <w:basedOn w:val="842"/>
    <w:next w:val="860"/>
    <w:link w:val="842"/>
    <w:uiPriority w:val="34"/>
    <w:qFormat/>
    <w:pPr>
      <w:contextualSpacing/>
      <w:ind w:left="720"/>
      <w:spacing w:after="200" w:line="276" w:lineRule="auto"/>
      <w:widowControl/>
    </w:pPr>
    <w:rPr>
      <w:rFonts w:ascii="Calibri" w:hAnsi="Calibri"/>
      <w:sz w:val="22"/>
      <w:szCs w:val="22"/>
    </w:rPr>
  </w:style>
  <w:style w:type="character" w:styleId="861" w:default="1">
    <w:name w:val="Default Paragraph Font"/>
    <w:uiPriority w:val="1"/>
    <w:semiHidden/>
    <w:unhideWhenUsed/>
  </w:style>
  <w:style w:type="numbering" w:styleId="862" w:default="1">
    <w:name w:val="No List"/>
    <w:uiPriority w:val="99"/>
    <w:semiHidden/>
    <w:unhideWhenUsed/>
  </w:style>
  <w:style w:type="table" w:styleId="863" w:default="1">
    <w:name w:val="Normal Table"/>
    <w:uiPriority w:val="99"/>
    <w:semiHidden/>
    <w:unhideWhenUsed/>
    <w:tblPr/>
  </w:style>
  <w:style w:type="paragraph" w:styleId="864" w:customStyle="1">
    <w:name w:val="Список"/>
    <w:pPr>
      <w:contextualSpacing w:val="0"/>
      <w:ind w:left="283" w:right="0" w:hanging="283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nesvitl</dc:creator>
  <cp:lastModifiedBy>oiu_dmitrieva</cp:lastModifiedBy>
  <cp:revision>12</cp:revision>
  <dcterms:created xsi:type="dcterms:W3CDTF">2025-09-26T11:57:00Z</dcterms:created>
  <dcterms:modified xsi:type="dcterms:W3CDTF">2026-09-30T10:24:28Z</dcterms:modified>
  <cp:version>983040</cp:version>
</cp:coreProperties>
</file>