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3"/>
        <w:rPr>
          <w:highlight w:val="white"/>
        </w:rPr>
        <w:outlineLvl w:val="0"/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jc w:val="center"/>
        <w:rPr>
          <w:color w:val="000000"/>
          <w:highlight w:val="white"/>
        </w:rP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859"/>
        <w:jc w:val="center"/>
        <w:rPr>
          <w:sz w:val="28"/>
          <w:szCs w:val="28"/>
          <w:highlight w:val="white"/>
        </w:rPr>
      </w:pPr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-114299</wp:posOffset>
                </wp:positionV>
                <wp:extent cx="662940" cy="762000"/>
                <wp:effectExtent l="0" t="0" r="0" b="0"/>
                <wp:wrapTight wrapText="bothSides">
                  <wp:wrapPolygon edited="1">
                    <wp:start x="-309" y="0"/>
                    <wp:lineTo x="-309" y="21330"/>
                    <wp:lineTo x="21600" y="21330"/>
                    <wp:lineTo x="21600" y="0"/>
                    <wp:lineTo x="-309" y="0"/>
                  </wp:wrapPolygon>
                </wp:wrapTight>
                <wp:docPr id="1" name="_x0000_s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6294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524288;o:allowoverlap:true;o:allowincell:true;mso-position-horizontal-relative:text;mso-position-horizontal:center;mso-position-vertical-relative:text;margin-top:-9.00pt;mso-position-vertical:absolute;width:52.20pt;height:60.00pt;mso-wrap-distance-left:9.00pt;mso-wrap-distance-top:0.00pt;mso-wrap-distance-right:9.00pt;mso-wrap-distance-bottom:0.00pt;" wrapcoords="-1430 0 -1430 98750 100000 98750 100000 0 -1430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5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5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5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59"/>
        <w:jc w:val="center"/>
        <w:rPr>
          <w:b/>
          <w:sz w:val="28"/>
          <w:szCs w:val="28"/>
          <w:highlight w:val="white"/>
        </w:rPr>
        <w:outlineLvl w:val="0"/>
      </w:pPr>
      <w:r>
        <w:rPr>
          <w:b/>
          <w:sz w:val="28"/>
          <w:szCs w:val="28"/>
          <w:highlight w:val="white"/>
        </w:rPr>
        <w:t xml:space="preserve">КОМИТЕТ ГОСУДАРСТВЕННОГО ЗАКАЗА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859"/>
        <w:jc w:val="center"/>
        <w:rPr>
          <w:b/>
          <w:sz w:val="28"/>
          <w:szCs w:val="28"/>
          <w:highlight w:val="white"/>
        </w:rPr>
        <w:pBdr>
          <w:bottom w:val="single" w:color="000000" w:sz="12" w:space="1"/>
        </w:pBdr>
        <w:outlineLvl w:val="0"/>
      </w:pPr>
      <w:r>
        <w:rPr>
          <w:b/>
          <w:sz w:val="28"/>
          <w:szCs w:val="28"/>
          <w:highlight w:val="white"/>
        </w:rPr>
        <w:t xml:space="preserve">ЛЕНИНГРАДСКОЙ ОБЛАСТИ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85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59"/>
        <w:jc w:val="center"/>
        <w:rPr>
          <w:sz w:val="28"/>
          <w:szCs w:val="28"/>
          <w:highlight w:val="white"/>
        </w:rPr>
        <w:outlineLvl w:val="0"/>
      </w:pPr>
      <w:r>
        <w:rPr>
          <w:sz w:val="28"/>
          <w:szCs w:val="28"/>
          <w:highlight w:val="white"/>
        </w:rPr>
        <w:t xml:space="preserve">ПРИКАЗ № </w:t>
      </w:r>
      <w:r>
        <w:rPr>
          <w:sz w:val="28"/>
          <w:szCs w:val="28"/>
          <w:highlight w:val="white"/>
        </w:rPr>
        <w:t xml:space="preserve">______</w:t>
      </w:r>
      <w:r>
        <w:rPr>
          <w:sz w:val="28"/>
          <w:szCs w:val="28"/>
          <w:highlight w:val="white"/>
        </w:rPr>
        <w:t xml:space="preserve">______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59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</w:t>
      </w:r>
      <w:r>
        <w:rPr>
          <w:sz w:val="28"/>
          <w:szCs w:val="28"/>
          <w:highlight w:val="white"/>
        </w:rPr>
        <w:t xml:space="preserve">____</w:t>
      </w:r>
      <w:r>
        <w:rPr>
          <w:sz w:val="28"/>
          <w:szCs w:val="28"/>
          <w:highlight w:val="white"/>
        </w:rPr>
        <w:t xml:space="preserve">_______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64"/>
        <w:jc w:val="center"/>
        <w:rPr>
          <w:color w:val="000000"/>
          <w:highlight w:val="white"/>
        </w:rP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864"/>
        <w:jc w:val="center"/>
        <w:rPr>
          <w:color w:val="000000"/>
          <w:highlight w:val="white"/>
        </w:rP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864"/>
        <w:jc w:val="center"/>
        <w:rPr>
          <w:color w:val="000000"/>
          <w:highlight w:val="white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864"/>
        <w:jc w:val="both"/>
        <w:rPr>
          <w:rFonts w:ascii="Times New Roman" w:hAnsi="Times New Roman" w:cs="Times New Roman"/>
          <w:b w:val="0"/>
          <w:color w:val="000000"/>
          <w:highlight w:val="white"/>
        </w:rPr>
      </w:pPr>
      <w:r>
        <w:rPr>
          <w:rFonts w:ascii="Times New Roman" w:hAnsi="Times New Roman" w:cs="Times New Roman"/>
          <w:b w:val="0"/>
          <w:color w:val="000000"/>
          <w:highlight w:val="white"/>
        </w:rPr>
        <w:t xml:space="preserve">«</w:t>
      </w:r>
      <w:r>
        <w:rPr>
          <w:rFonts w:ascii="Times New Roman" w:hAnsi="Times New Roman" w:cs="Times New Roman"/>
          <w:b w:val="0"/>
          <w:color w:val="000000"/>
          <w:highlight w:val="white"/>
        </w:rPr>
        <w:t xml:space="preserve">О </w:t>
      </w:r>
      <w:r>
        <w:rPr>
          <w:rFonts w:ascii="Times New Roman" w:hAnsi="Times New Roman" w:cs="Times New Roman"/>
          <w:b w:val="0"/>
          <w:color w:val="000000"/>
          <w:highlight w:val="white"/>
        </w:rPr>
        <w:t xml:space="preserve">порядке составления, утверждения и</w:t>
      </w:r>
      <w:r>
        <w:rPr>
          <w:rFonts w:ascii="Times New Roman" w:hAnsi="Times New Roman" w:cs="Times New Roman"/>
          <w:b w:val="0"/>
          <w:color w:val="000000"/>
          <w:highlight w:val="white"/>
        </w:rPr>
      </w:r>
      <w:r>
        <w:rPr>
          <w:rFonts w:ascii="Times New Roman" w:hAnsi="Times New Roman" w:cs="Times New Roman"/>
          <w:b w:val="0"/>
          <w:color w:val="000000"/>
          <w:highlight w:val="white"/>
        </w:rPr>
      </w:r>
    </w:p>
    <w:p>
      <w:pPr>
        <w:pStyle w:val="864"/>
        <w:jc w:val="both"/>
        <w:rPr>
          <w:rFonts w:ascii="Times New Roman" w:hAnsi="Times New Roman" w:cs="Times New Roman"/>
          <w:b w:val="0"/>
          <w:color w:val="000000"/>
          <w:highlight w:val="white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708" w:equalWidth="1"/>
          <w:docGrid w:linePitch="360"/>
        </w:sectPr>
      </w:pPr>
      <w:r>
        <w:rPr>
          <w:rFonts w:ascii="Times New Roman" w:hAnsi="Times New Roman" w:cs="Times New Roman"/>
          <w:b w:val="0"/>
          <w:color w:val="000000"/>
          <w:highlight w:val="white"/>
        </w:rPr>
      </w:r>
      <w:r>
        <w:rPr>
          <w:rFonts w:ascii="Times New Roman" w:hAnsi="Times New Roman" w:cs="Times New Roman"/>
          <w:b w:val="0"/>
          <w:color w:val="000000"/>
          <w:highlight w:val="white"/>
        </w:rPr>
      </w:r>
      <w:r>
        <w:rPr>
          <w:rFonts w:ascii="Times New Roman" w:hAnsi="Times New Roman" w:cs="Times New Roman"/>
          <w:b w:val="0"/>
          <w:color w:val="000000"/>
          <w:highlight w:val="white"/>
        </w:rPr>
      </w:r>
    </w:p>
    <w:p>
      <w:pPr>
        <w:pStyle w:val="864"/>
        <w:jc w:val="both"/>
        <w:rPr>
          <w:rFonts w:ascii="Times New Roman" w:hAnsi="Times New Roman" w:cs="Times New Roman"/>
          <w:b w:val="0"/>
          <w:color w:val="000000"/>
          <w:highlight w:val="white"/>
        </w:rPr>
      </w:pPr>
      <w:r>
        <w:rPr>
          <w:rFonts w:ascii="Times New Roman" w:hAnsi="Times New Roman" w:cs="Times New Roman"/>
          <w:b w:val="0"/>
          <w:color w:val="000000"/>
          <w:highlight w:val="white"/>
        </w:rPr>
        <w:t xml:space="preserve">ведения бюджетной сметы</w:t>
      </w:r>
      <w:r>
        <w:rPr>
          <w:rFonts w:ascii="Times New Roman" w:hAnsi="Times New Roman" w:cs="Times New Roman"/>
          <w:b w:val="0"/>
          <w:color w:val="000000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color w:val="000000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color w:val="000000"/>
          <w:highlight w:val="white"/>
        </w:rPr>
        <w:t xml:space="preserve">омитета</w:t>
      </w:r>
      <w:r>
        <w:rPr>
          <w:rFonts w:ascii="Times New Roman" w:hAnsi="Times New Roman" w:cs="Times New Roman"/>
          <w:b w:val="0"/>
          <w:color w:val="000000"/>
          <w:highlight w:val="white"/>
        </w:rPr>
      </w:r>
      <w:r>
        <w:rPr>
          <w:rFonts w:ascii="Times New Roman" w:hAnsi="Times New Roman" w:cs="Times New Roman"/>
          <w:b w:val="0"/>
          <w:color w:val="000000"/>
          <w:highlight w:val="white"/>
        </w:rPr>
      </w:r>
    </w:p>
    <w:p>
      <w:pPr>
        <w:pStyle w:val="864"/>
        <w:jc w:val="both"/>
        <w:rPr>
          <w:rFonts w:ascii="Times New Roman" w:hAnsi="Times New Roman" w:cs="Times New Roman"/>
          <w:b w:val="0"/>
          <w:color w:val="000000"/>
          <w:highlight w:val="white"/>
        </w:rPr>
      </w:pPr>
      <w:r>
        <w:rPr>
          <w:rFonts w:ascii="Times New Roman" w:hAnsi="Times New Roman" w:cs="Times New Roman"/>
          <w:b w:val="0"/>
          <w:color w:val="000000"/>
          <w:highlight w:val="white"/>
        </w:rPr>
        <w:t xml:space="preserve">государственного заказа Ленинградской области</w:t>
      </w:r>
      <w:r>
        <w:rPr>
          <w:rFonts w:ascii="Times New Roman" w:hAnsi="Times New Roman" w:cs="Times New Roman"/>
          <w:b w:val="0"/>
          <w:color w:val="000000"/>
          <w:highlight w:val="white"/>
        </w:rPr>
        <w:t xml:space="preserve">»</w:t>
      </w:r>
      <w:r>
        <w:rPr>
          <w:rFonts w:ascii="Times New Roman" w:hAnsi="Times New Roman" w:cs="Times New Roman"/>
          <w:b w:val="0"/>
          <w:color w:val="000000"/>
          <w:highlight w:val="white"/>
        </w:rPr>
      </w:r>
      <w:r>
        <w:rPr>
          <w:rFonts w:ascii="Times New Roman" w:hAnsi="Times New Roman" w:cs="Times New Roman"/>
          <w:b w:val="0"/>
          <w:color w:val="000000"/>
          <w:highlight w:val="white"/>
        </w:rPr>
      </w:r>
    </w:p>
    <w:p>
      <w:pPr>
        <w:pStyle w:val="864"/>
        <w:jc w:val="center"/>
        <w:rPr>
          <w:color w:val="000000"/>
          <w:highlight w:val="white"/>
        </w:rPr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863"/>
        <w:jc w:val="center"/>
        <w:rPr>
          <w:b/>
          <w:color w:val="000000"/>
          <w:highlight w:val="white"/>
        </w:rPr>
      </w:pPr>
      <w:r>
        <w:rPr>
          <w:b/>
          <w:color w:val="000000"/>
          <w:highlight w:val="white"/>
        </w:rPr>
      </w:r>
      <w:r>
        <w:rPr>
          <w:b/>
          <w:color w:val="000000"/>
          <w:highlight w:val="white"/>
        </w:rPr>
      </w:r>
      <w:r>
        <w:rPr>
          <w:b/>
          <w:color w:val="000000"/>
          <w:highlight w:val="white"/>
        </w:rPr>
      </w:r>
    </w:p>
    <w:p>
      <w:pPr>
        <w:pStyle w:val="863"/>
        <w:contextualSpacing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соответствии со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HYPERLINK "https://login.consultant.ru/link/?req=doc&amp;base=LAW&amp;n=511724&amp;dst=3193" \h </w:instrText>
      </w:r>
      <w:r>
        <w:rPr>
          <w:highlight w:val="white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статьями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158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162, 221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Бюджетного кодекса Российской Федерации,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HYPERLINK "https://login.consultant.ru/link/?req=doc&amp;base=LAW&amp;n=539156&amp;dst=100016" \h </w:instrText>
      </w:r>
      <w:r>
        <w:rPr>
          <w:highlight w:val="white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приказом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Министерства финансов Российской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Федерации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от 14 февраля 2018 №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26н «Об Общих требованиях к порядку составления, утверждения и ведения бюджетных смет казенных учреждений»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br w:type="textWrapping" w:clear="all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пунктом 2.11 Положения о Комитете государственного заказа Ленинградской области, утвержденного постановлением Прав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ительства Ленинградской области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от 27.12.2013 № 530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 Утвердить Поряд</w:t>
      </w:r>
      <w:bookmarkStart w:id="0" w:name="_Hlt239919390"/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 составления, утверждения и ведения бюджетной сметы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омитета государственного заказа Ленинградской области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согласно приложению к настоящему приказу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8"/>
        <w:jc w:val="both"/>
        <w:spacing w:before="220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 Контроль за исполнением настоящего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приказа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оставляю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за собой.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Председатель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омитета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ab/>
        <w:tab/>
        <w:tab/>
        <w:tab/>
        <w:tab/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Т.А.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Гладышева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81"/>
        <w:ind w:left="0" w:right="0" w:firstLine="0"/>
        <w:jc w:val="right"/>
        <w:rPr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Государственный регистрационный номер: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881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  <w:t xml:space="preserve">Дата государственной регистрации: </w:t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rPr>
          <w:rFonts w:ascii="Times New Roman" w:hAnsi="Times New Roman" w:cs="Times New Roman"/>
          <w:color w:val="000000"/>
          <w:sz w:val="28"/>
          <w:szCs w:val="28"/>
          <w:highlight w:val="white"/>
        </w:rPr>
        <w:sectPr>
          <w:footnotePr/>
          <w:endnotePr/>
          <w:type w:val="continuous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59"/>
        <w:ind w:left="5670"/>
        <w:jc w:val="center"/>
        <w:widowControl w:val="off"/>
        <w:rPr>
          <w:szCs w:val="27"/>
          <w:highlight w:val="white"/>
        </w:rPr>
        <w:outlineLvl w:val="0"/>
      </w:pPr>
      <w:r>
        <w:rPr>
          <w:szCs w:val="27"/>
          <w:highlight w:val="white"/>
        </w:rPr>
        <w:t xml:space="preserve">ПРИЛОЖЕНИЕ</w:t>
      </w:r>
      <w:r>
        <w:rPr>
          <w:szCs w:val="27"/>
          <w:highlight w:val="white"/>
        </w:rPr>
      </w:r>
      <w:r>
        <w:rPr>
          <w:szCs w:val="27"/>
          <w:highlight w:val="white"/>
        </w:rPr>
      </w:r>
    </w:p>
    <w:p>
      <w:pPr>
        <w:pStyle w:val="863"/>
        <w:ind w:left="567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к приказу Комитета государственного заказа Ленинградской области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63"/>
        <w:ind w:left="567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№ _______ от __________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64"/>
        <w:ind w:left="5670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4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4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ПОРЯДОК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4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СОСТАВЛЕНИЯ, УТВЕРЖДЕНИЯ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 ВЕДЕНИЯ БЮДЖЕТНОЙ СМЕТЫ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КОМИТЕТА ГОСУДАРСТВЕННОГО ЗАКАЗА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4"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ЛЕНИНГРАДСКОЙ ОБЛАСТИ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highlight w:val="white"/>
        </w:rPr>
      </w:r>
    </w:p>
    <w:p>
      <w:pPr>
        <w:pStyle w:val="863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outlineLvl w:val="1"/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1. Общие положения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pStyle w:val="86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1.1. 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Настоящий Порядок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устанавливает правила составления, утверждения и ведения бюджетной сметы Комитета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государственного заказа Ленинградской области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(далее - Порядок, Комитет)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1.2. В настоящем Порядке используются понятия и термины в значениях, установленных в Бюджетном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 xml:space="preserve"> HYPERLINK "https://cons-goszakaz.lenreg.ru/cgi/online.cgi?req=doc&amp;base=LAW&amp;n=513926&amp;date=10.09.2026" </w:instrTex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кодексе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Российской Федерации и нормативных правовых актах Российской Федерации и Ленинградской области.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1.3. Бюджетная смета Комитета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составл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яется в целях установления объема и распределения направлений расходования средств областного бюджета Ленинградской области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(далее - областной бюджет)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на основании доведенных до Комитета в установленном порядке лимитов бюджетных обязательств по расходам областного бюджета на принятие и(или) исполнение бюджетных обязательств по обеспечению выполнения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полномочий 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функций Комитета на период текущего (очередного) финансового года и плановый период.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1.4. Составление, утверждение и ведение сметы Комитета, содержащей сведения, составляющие государственную тайну, осуществляется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 соблюдением законодательства Российской Федерации о защите государственной тайны.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Показатели сметы, содержащие сведения, составляющие государственную тайну, утверждаются и ведутся обособленно.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1.5. Составление, ведение бюджетной сметы Комитета осуществляется сектором материально-технического обеспечения К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митета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outlineLvl w:val="1"/>
      </w:pPr>
      <w:r>
        <w:rPr>
          <w:highlight w:val="white"/>
        </w:rPr>
      </w:r>
      <w:bookmarkStart w:id="3" w:name="P44"/>
      <w:r>
        <w:rPr>
          <w:highlight w:val="white"/>
        </w:rPr>
      </w:r>
      <w:bookmarkEnd w:id="3"/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2. Составление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бюджетной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сметы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pStyle w:val="863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outlineLvl w:val="1"/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2.1. 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Показатели бюджетной сметы формируются в пределах доведенных комитетом финансов Ленинградской области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лимитов бюджетных обязательств в разрезе кодов классификации расходов бюджетов бюджетной классификации Российской Федерации с детализацией по кодам групп, подгрупп, элементов видов расходов классификации расходов бюджетов и кодам аналитических показателей.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 кодам аналитических показателей относятся код операций сектора государственного управления (КОСГУ), дополнительный код расхода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br w:type="textWrapping" w:clear="all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(Доп. КР), с детализацией по которым исполняется областной бюджет.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2.2. 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Показатели бюджетной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 xml:space="preserve"> HYPERLINK "https://cons-goszakaz.lenreg.ru/cgi/online.cgi?req=doc&amp;base=SPB&amp;n=280596&amp;dst=100277&amp;field=134&amp;date=10.09.2026" </w:instrTex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смет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ы Комитета составляются на текущий (очередной) финансовый год и плановый период по форме 0501012</w:t>
        <w:br w:type="textWrapping" w:clear="all"/>
        <w:t xml:space="preserve">«ОК 011-93. Общероссийский классификатор управленческой документации», утвержденного постановлением Госстандарта России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от 30.12.1993 № 299 (далее – ОКУД).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2.3. 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При составлении бюджетной сметы обоснования бюджетных ассигнований, подготовленные при формировании проекта областного бюджета на очередной финансовый год и плановый период по формам,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установленным приложениями к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 xml:space="preserve"> HYPERLINK "https://cons-goszakaz.lenreg.ru/cgi/online.cgi?req=doc&amp;base=SPB&amp;n=330634&amp;dst=100016&amp;field=134&amp;date=10.09.2026" </w:instrTex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Порядку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планирования бюджетных ассигнований областного бюджета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(далее – Порядок планирования)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утвержденному Приказом комитета финансов Ленинградской области от 25.05.2016 N 18-02/01-02-54,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приводятся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br w:type="textWrapping" w:clear="all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соответствие с объемами бюджетных ассигнований, утвержденными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br w:type="textWrapping" w:clear="all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областном бюджете на очередной финансовый год и плановый период.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 обоснованиям бюджетных ассигнований прилагается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пояснительная записка.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Обоснования бюджетных ассигнований с пояснительной запиской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br w:type="textWrapping" w:clear="all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 ним являются неотъемлемой частью бюджетной сметы.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2.4. Бюджетная смета составляется не позднее 10 (десяти) рабочих дней со дня доведения лимитов бюджетных обязательств на очередной финансовый год и плановый период.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2.5. Бюджетная смета Комитета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составляется в одном экземпляре.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юджетн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ая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смет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Комитета подписывается исполнителем, ответственным за составление бюджетной сметы Комитета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– главным специалистом - главным бухгалтером сектора материально технического обеспечения Комитета (или лицом, исполняющим его обязанности)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начальником сектора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материально-технического обеспечения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(или лицом, исполняющим его обязанности), заместителем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председателя Комитета, курирующим отдел правового обеспечения и сектор материально-технического обеспечения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(или лицом, исполняющим его обязанности).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outlineLvl w:val="1"/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3. Утверждение бюджетной сметы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pStyle w:val="863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3.1. 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Бюджетная смета Комитета утверждается председател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ем К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омитета (или лицом, исполняющим его обязанности) в течение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10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десяти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) рабочих дней со дня доведения лимитов бюджетных обязательств, но не позднее последнего рабочего дня текущего финансового года.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3.2. 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Бюджетная смета Комитета и обоснования (расчеты) плановых сметных показателей к ней хранятся в ответственном структурном подразделении Комитета.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outlineLvl w:val="1"/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pStyle w:val="863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outlineLvl w:val="1"/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4. Ведение бюджетной сметы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pStyle w:val="863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4.1. 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Ведением бюджетной сметы Комитета является внесение изменений в показатели бюджетной сметы в пределах доведенных в установленном порядке изменений лимитов бюджетных обязательств.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4.2. 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Внесение изменений в показатели сметы осуществляется путем утверждения изменений показателей - сумм увеличения, отражающихся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br w:type="textWrapping" w:clear="all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со знаком «плюс» и (или) уменьшения объемов сметных назначений, отражающихся со знаком «минус»: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 изменяющих объемы сметных назначений в случае изменения доведенных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Комитету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в установленном законодательством Российской Федерации порядке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объема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лимитов бюджетных обязательств;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 изменяющих распределение сметных назначений по кодам классификации расходов бюджетов бюджетной классификации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и по кодам дополнительной классификации Ленинградской области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 изменяющих объемы сметных назначений, приводящих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br w:type="textWrapping" w:clear="all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 перераспределению их между разделами сметы;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изменяющих иные показатели, предусмотренные Порядком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4.3. 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 xml:space="preserve"> HYPERLINK "https://cons-goszakaz.lenreg.ru/cgi/online.cgi?req=doc&amp;base=SPB&amp;n=296517&amp;dst=100205&amp;field=134&amp;date=10.09.2026" </w:instrTex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Изменения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показателей бюджетной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смет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ы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Комитета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оформляются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не позднее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10 (десяти) рабочих дней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после даты доведения изменений лимитов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бюджетных обязательств по форме ОКУД 0501013 с детализацией по кодам, указанным в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 xml:space="preserve"> HYPERLINK "https://cons-goszakaz.lenreg.ru/cgi/online.cgi?req=doc&amp;base=SPB&amp;n=296517&amp;dst=100025&amp;field=134&amp;date=10.09.2026" </w:instrTex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пункте 2.1.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Порядка.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 представленным на утверждение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изменениям показателей бюджетной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смет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ы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Комитета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прилагаются обоснования бюджетных ассигнований в разрезе целевых статей и видов расходов по формам, установленным приложениями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br w:type="textWrapping" w:clear="all"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 Порядку планирования, а также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пояснительная записка с расчетами объемов бюджетных ассигнований по изменяемым показателям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4.4. Изменения бюджетной сметы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Комитета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составляется в одном экземпляре.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4.5. Изменен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ия бюджетной сметы Комитета подписывается исполнителем, ответственным за составление бюджетной сметы Комитета – главным специалистом - главным бухгалтером сектора материально технического обеспечения Комитета (или лицом, исполняющим его обязанности), начал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ьником сектора материально-технического обеспечения (или лицом, исполняющим его обязанности), заместителем председателя Комитета, курирующим отдел правового обеспечения и сектор материально-технического обеспечения (или лицом, исполняющим его обязанности).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4.6. Изменения бюджетной сметы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Комитета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утверждаются председателем Комитета (или лицом, исполняющим его обязанности)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течение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10 (десяти) рабочих дней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после даты доведения изменений лим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итов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бюджетных обязательств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3"/>
        <w:contextualSpacing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4.7. Изменения бюджетной сметы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Комитета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хранятся в ответственном структурном подразделении Комитета.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567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Segoe UI">
    <w:panose1 w:val="020B05030202040202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1"/>
      <w:tabs>
        <w:tab w:val="left" w:pos="2036" w:leader="none"/>
        <w:tab w:val="clear" w:pos="4677" w:leader="none"/>
        <w:tab w:val="clear" w:pos="9355" w:leader="none"/>
      </w:tabs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1">
    <w:name w:val="Heading 1"/>
    <w:basedOn w:val="859"/>
    <w:next w:val="859"/>
    <w:link w:val="68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82">
    <w:name w:val="Heading 1 Char"/>
    <w:link w:val="68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83">
    <w:name w:val="Heading 2"/>
    <w:basedOn w:val="859"/>
    <w:next w:val="859"/>
    <w:link w:val="68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84">
    <w:name w:val="Heading 2 Char"/>
    <w:link w:val="683"/>
    <w:uiPriority w:val="9"/>
    <w:rPr>
      <w:rFonts w:ascii="Liberation Sans" w:hAnsi="Liberation Sans" w:eastAsia="Liberation Sans" w:cs="Liberation Sans"/>
      <w:sz w:val="34"/>
    </w:rPr>
  </w:style>
  <w:style w:type="paragraph" w:styleId="685">
    <w:name w:val="Heading 3"/>
    <w:basedOn w:val="859"/>
    <w:next w:val="859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6">
    <w:name w:val="Heading 3 Char"/>
    <w:link w:val="68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7">
    <w:name w:val="Heading 4"/>
    <w:basedOn w:val="859"/>
    <w:next w:val="859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8">
    <w:name w:val="Heading 4 Char"/>
    <w:link w:val="68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9">
    <w:name w:val="Heading 5"/>
    <w:basedOn w:val="859"/>
    <w:next w:val="859"/>
    <w:link w:val="69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0">
    <w:name w:val="Heading 5 Char"/>
    <w:link w:val="68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1">
    <w:name w:val="Heading 6"/>
    <w:basedOn w:val="859"/>
    <w:next w:val="859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2">
    <w:name w:val="Heading 6 Char"/>
    <w:link w:val="69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3">
    <w:name w:val="Heading 7"/>
    <w:basedOn w:val="859"/>
    <w:next w:val="859"/>
    <w:link w:val="69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4">
    <w:name w:val="Heading 7 Char"/>
    <w:link w:val="69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5">
    <w:name w:val="Heading 8"/>
    <w:basedOn w:val="859"/>
    <w:next w:val="859"/>
    <w:link w:val="69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6">
    <w:name w:val="Heading 8 Char"/>
    <w:link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7">
    <w:name w:val="Heading 9"/>
    <w:basedOn w:val="859"/>
    <w:next w:val="859"/>
    <w:link w:val="69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8">
    <w:name w:val="Heading 9 Char"/>
    <w:link w:val="69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9">
    <w:name w:val="List Paragraph"/>
    <w:basedOn w:val="859"/>
    <w:uiPriority w:val="34"/>
    <w:qFormat/>
    <w:pPr>
      <w:contextualSpacing/>
      <w:ind w:left="720"/>
    </w:pPr>
  </w:style>
  <w:style w:type="paragraph" w:styleId="700">
    <w:name w:val="No Spacing"/>
    <w:uiPriority w:val="1"/>
    <w:qFormat/>
    <w:pPr>
      <w:spacing w:before="0" w:after="0" w:line="240" w:lineRule="auto"/>
    </w:pPr>
  </w:style>
  <w:style w:type="paragraph" w:styleId="701">
    <w:name w:val="Title"/>
    <w:basedOn w:val="859"/>
    <w:next w:val="859"/>
    <w:link w:val="70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2">
    <w:name w:val="Title Char"/>
    <w:link w:val="701"/>
    <w:uiPriority w:val="10"/>
    <w:rPr>
      <w:sz w:val="48"/>
      <w:szCs w:val="48"/>
    </w:rPr>
  </w:style>
  <w:style w:type="paragraph" w:styleId="703">
    <w:name w:val="Subtitle"/>
    <w:basedOn w:val="859"/>
    <w:next w:val="859"/>
    <w:link w:val="704"/>
    <w:uiPriority w:val="11"/>
    <w:qFormat/>
    <w:pPr>
      <w:spacing w:before="200" w:after="200"/>
    </w:pPr>
    <w:rPr>
      <w:sz w:val="24"/>
      <w:szCs w:val="24"/>
    </w:rPr>
  </w:style>
  <w:style w:type="character" w:styleId="704">
    <w:name w:val="Subtitle Char"/>
    <w:link w:val="703"/>
    <w:uiPriority w:val="11"/>
    <w:rPr>
      <w:sz w:val="24"/>
      <w:szCs w:val="24"/>
    </w:rPr>
  </w:style>
  <w:style w:type="paragraph" w:styleId="705">
    <w:name w:val="Quote"/>
    <w:basedOn w:val="859"/>
    <w:next w:val="859"/>
    <w:link w:val="706"/>
    <w:uiPriority w:val="29"/>
    <w:qFormat/>
    <w:pPr>
      <w:ind w:left="720" w:right="720"/>
    </w:pPr>
    <w:rPr>
      <w:i/>
    </w:rPr>
  </w:style>
  <w:style w:type="character" w:styleId="706">
    <w:name w:val="Quote Char"/>
    <w:link w:val="705"/>
    <w:uiPriority w:val="29"/>
    <w:rPr>
      <w:i/>
    </w:rPr>
  </w:style>
  <w:style w:type="paragraph" w:styleId="707">
    <w:name w:val="Intense Quote"/>
    <w:basedOn w:val="859"/>
    <w:next w:val="859"/>
    <w:link w:val="70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>
    <w:name w:val="Intense Quote Char"/>
    <w:link w:val="707"/>
    <w:uiPriority w:val="30"/>
    <w:rPr>
      <w:i/>
    </w:rPr>
  </w:style>
  <w:style w:type="paragraph" w:styleId="709">
    <w:name w:val="Header"/>
    <w:basedOn w:val="85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>
    <w:name w:val="Header Char"/>
    <w:link w:val="709"/>
    <w:uiPriority w:val="99"/>
  </w:style>
  <w:style w:type="paragraph" w:styleId="711">
    <w:name w:val="Footer"/>
    <w:basedOn w:val="859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>
    <w:name w:val="Footer Char"/>
    <w:link w:val="711"/>
    <w:uiPriority w:val="99"/>
  </w:style>
  <w:style w:type="paragraph" w:styleId="713">
    <w:name w:val="Caption"/>
    <w:basedOn w:val="859"/>
    <w:next w:val="859"/>
    <w:link w:val="7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4">
    <w:name w:val="Caption Char"/>
    <w:link w:val="713"/>
    <w:uiPriority w:val="35"/>
    <w:rPr>
      <w:b/>
      <w:bCs/>
      <w:color w:val="4f81bd" w:themeColor="accent1"/>
      <w:sz w:val="18"/>
      <w:szCs w:val="18"/>
    </w:rPr>
  </w:style>
  <w:style w:type="table" w:styleId="71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1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1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1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2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000ff" w:themeColor="hyperlink"/>
      <w:u w:val="single"/>
    </w:rPr>
  </w:style>
  <w:style w:type="paragraph" w:styleId="842">
    <w:name w:val="footnote text"/>
    <w:basedOn w:val="85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>
    <w:name w:val="Footnote Text Char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85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859"/>
    <w:next w:val="859"/>
    <w:uiPriority w:val="39"/>
    <w:unhideWhenUsed/>
    <w:pPr>
      <w:ind w:left="0" w:right="0" w:firstLine="0"/>
      <w:spacing w:after="57"/>
    </w:pPr>
  </w:style>
  <w:style w:type="paragraph" w:styleId="849">
    <w:name w:val="toc 2"/>
    <w:basedOn w:val="859"/>
    <w:next w:val="859"/>
    <w:uiPriority w:val="39"/>
    <w:unhideWhenUsed/>
    <w:pPr>
      <w:ind w:left="283" w:right="0" w:firstLine="0"/>
      <w:spacing w:after="57"/>
    </w:pPr>
  </w:style>
  <w:style w:type="paragraph" w:styleId="850">
    <w:name w:val="toc 3"/>
    <w:basedOn w:val="859"/>
    <w:next w:val="859"/>
    <w:uiPriority w:val="39"/>
    <w:unhideWhenUsed/>
    <w:pPr>
      <w:ind w:left="567" w:right="0" w:firstLine="0"/>
      <w:spacing w:after="57"/>
    </w:pPr>
  </w:style>
  <w:style w:type="paragraph" w:styleId="851">
    <w:name w:val="toc 4"/>
    <w:basedOn w:val="859"/>
    <w:next w:val="859"/>
    <w:uiPriority w:val="39"/>
    <w:unhideWhenUsed/>
    <w:pPr>
      <w:ind w:left="850" w:right="0" w:firstLine="0"/>
      <w:spacing w:after="57"/>
    </w:pPr>
  </w:style>
  <w:style w:type="paragraph" w:styleId="852">
    <w:name w:val="toc 5"/>
    <w:basedOn w:val="859"/>
    <w:next w:val="859"/>
    <w:uiPriority w:val="39"/>
    <w:unhideWhenUsed/>
    <w:pPr>
      <w:ind w:left="1134" w:right="0" w:firstLine="0"/>
      <w:spacing w:after="57"/>
    </w:pPr>
  </w:style>
  <w:style w:type="paragraph" w:styleId="853">
    <w:name w:val="toc 6"/>
    <w:basedOn w:val="859"/>
    <w:next w:val="859"/>
    <w:uiPriority w:val="39"/>
    <w:unhideWhenUsed/>
    <w:pPr>
      <w:ind w:left="1417" w:right="0" w:firstLine="0"/>
      <w:spacing w:after="57"/>
    </w:pPr>
  </w:style>
  <w:style w:type="paragraph" w:styleId="854">
    <w:name w:val="toc 7"/>
    <w:basedOn w:val="859"/>
    <w:next w:val="859"/>
    <w:uiPriority w:val="39"/>
    <w:unhideWhenUsed/>
    <w:pPr>
      <w:ind w:left="1701" w:right="0" w:firstLine="0"/>
      <w:spacing w:after="57"/>
    </w:pPr>
  </w:style>
  <w:style w:type="paragraph" w:styleId="855">
    <w:name w:val="toc 8"/>
    <w:basedOn w:val="859"/>
    <w:next w:val="859"/>
    <w:uiPriority w:val="39"/>
    <w:unhideWhenUsed/>
    <w:pPr>
      <w:ind w:left="1984" w:right="0" w:firstLine="0"/>
      <w:spacing w:after="57"/>
    </w:pPr>
  </w:style>
  <w:style w:type="paragraph" w:styleId="856">
    <w:name w:val="toc 9"/>
    <w:basedOn w:val="859"/>
    <w:next w:val="85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next w:val="859"/>
    <w:link w:val="859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860">
    <w:name w:val="Основной шрифт абзаца"/>
    <w:next w:val="860"/>
    <w:link w:val="859"/>
    <w:uiPriority w:val="1"/>
    <w:semiHidden/>
    <w:unhideWhenUsed/>
  </w:style>
  <w:style w:type="table" w:styleId="861">
    <w:name w:val="Обычная таблица"/>
    <w:next w:val="861"/>
    <w:link w:val="859"/>
    <w:uiPriority w:val="99"/>
    <w:semiHidden/>
    <w:unhideWhenUsed/>
    <w:tblPr/>
  </w:style>
  <w:style w:type="numbering" w:styleId="862">
    <w:name w:val="Нет списка"/>
    <w:next w:val="862"/>
    <w:link w:val="859"/>
    <w:uiPriority w:val="99"/>
    <w:semiHidden/>
    <w:unhideWhenUsed/>
  </w:style>
  <w:style w:type="paragraph" w:styleId="863">
    <w:name w:val="ConsPlusNormal"/>
    <w:next w:val="863"/>
    <w:link w:val="859"/>
    <w:pPr>
      <w:widowControl w:val="off"/>
    </w:pPr>
    <w:rPr>
      <w:rFonts w:eastAsia="Times New Roman" w:cs="Calibri"/>
      <w:sz w:val="22"/>
      <w:lang w:val="ru-RU" w:eastAsia="ru-RU" w:bidi="ar-SA"/>
    </w:rPr>
  </w:style>
  <w:style w:type="paragraph" w:styleId="864">
    <w:name w:val="ConsPlusTitle"/>
    <w:next w:val="864"/>
    <w:link w:val="859"/>
    <w:pPr>
      <w:widowControl w:val="off"/>
    </w:pPr>
    <w:rPr>
      <w:rFonts w:eastAsia="Times New Roman" w:cs="Calibri"/>
      <w:b/>
      <w:sz w:val="22"/>
      <w:lang w:val="ru-RU" w:eastAsia="ru-RU" w:bidi="ar-SA"/>
    </w:rPr>
  </w:style>
  <w:style w:type="paragraph" w:styleId="865">
    <w:name w:val="ConsPlusTitlePage"/>
    <w:next w:val="865"/>
    <w:link w:val="859"/>
    <w:pPr>
      <w:widowControl w:val="off"/>
    </w:pPr>
    <w:rPr>
      <w:rFonts w:ascii="Tahoma" w:hAnsi="Tahoma" w:eastAsia="Times New Roman" w:cs="Tahoma"/>
      <w:lang w:val="ru-RU" w:eastAsia="ru-RU" w:bidi="ar-SA"/>
    </w:rPr>
  </w:style>
  <w:style w:type="paragraph" w:styleId="866">
    <w:name w:val="Знак Знак1"/>
    <w:basedOn w:val="859"/>
    <w:next w:val="866"/>
    <w:link w:val="859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867">
    <w:name w:val="Абзац списка"/>
    <w:basedOn w:val="859"/>
    <w:next w:val="867"/>
    <w:link w:val="859"/>
    <w:uiPriority w:val="34"/>
    <w:qFormat/>
    <w:pPr>
      <w:contextualSpacing/>
      <w:ind w:left="720"/>
    </w:pPr>
  </w:style>
  <w:style w:type="paragraph" w:styleId="868">
    <w:name w:val="Обычный (веб)"/>
    <w:basedOn w:val="859"/>
    <w:next w:val="868"/>
    <w:link w:val="859"/>
    <w:uiPriority w:val="99"/>
    <w:unhideWhenUsed/>
    <w:pPr>
      <w:spacing w:before="100" w:beforeAutospacing="1" w:after="100" w:afterAutospacing="1"/>
    </w:pPr>
  </w:style>
  <w:style w:type="paragraph" w:styleId="869">
    <w:name w:val="Верхний колонтитул"/>
    <w:basedOn w:val="859"/>
    <w:next w:val="869"/>
    <w:link w:val="87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0">
    <w:name w:val="Верхний колонтитул Знак"/>
    <w:next w:val="870"/>
    <w:link w:val="86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1">
    <w:name w:val="Нижний колонтитул"/>
    <w:basedOn w:val="859"/>
    <w:next w:val="871"/>
    <w:link w:val="87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2">
    <w:name w:val="Нижний колонтитул Знак"/>
    <w:next w:val="872"/>
    <w:link w:val="87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3">
    <w:name w:val="Гиперссылка"/>
    <w:next w:val="873"/>
    <w:link w:val="859"/>
    <w:uiPriority w:val="99"/>
    <w:semiHidden/>
    <w:unhideWhenUsed/>
    <w:rPr>
      <w:color w:val="0000ff"/>
      <w:u w:val="single"/>
    </w:rPr>
  </w:style>
  <w:style w:type="character" w:styleId="874">
    <w:name w:val="Просмотренная гиперссылка"/>
    <w:next w:val="874"/>
    <w:link w:val="859"/>
    <w:uiPriority w:val="99"/>
    <w:semiHidden/>
    <w:unhideWhenUsed/>
    <w:rPr>
      <w:color w:val="800080"/>
      <w:u w:val="single"/>
    </w:rPr>
  </w:style>
  <w:style w:type="character" w:styleId="875">
    <w:name w:val="Строгий"/>
    <w:next w:val="875"/>
    <w:link w:val="859"/>
    <w:uiPriority w:val="22"/>
    <w:qFormat/>
    <w:rPr>
      <w:b/>
      <w:bCs/>
    </w:rPr>
  </w:style>
  <w:style w:type="paragraph" w:styleId="876">
    <w:name w:val="Текст выноски"/>
    <w:basedOn w:val="859"/>
    <w:next w:val="876"/>
    <w:link w:val="87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7">
    <w:name w:val="Текст выноски Знак"/>
    <w:next w:val="877"/>
    <w:link w:val="876"/>
    <w:uiPriority w:val="99"/>
    <w:semiHidden/>
    <w:rPr>
      <w:rFonts w:ascii="Segoe UI" w:hAnsi="Segoe UI" w:eastAsia="Times New Roman" w:cs="Segoe UI"/>
      <w:sz w:val="18"/>
      <w:szCs w:val="18"/>
    </w:rPr>
  </w:style>
  <w:style w:type="character" w:styleId="878" w:default="1">
    <w:name w:val="Default Paragraph Font"/>
    <w:uiPriority w:val="1"/>
    <w:semiHidden/>
    <w:unhideWhenUsed/>
  </w:style>
  <w:style w:type="numbering" w:styleId="879" w:default="1">
    <w:name w:val="No List"/>
    <w:uiPriority w:val="99"/>
    <w:semiHidden/>
    <w:unhideWhenUsed/>
  </w:style>
  <w:style w:type="table" w:styleId="880" w:default="1">
    <w:name w:val="Normal Table"/>
    <w:uiPriority w:val="99"/>
    <w:semiHidden/>
    <w:unhideWhenUsed/>
    <w:tblPr/>
  </w:style>
  <w:style w:type="paragraph" w:styleId="881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Галактионова Марина Ивановна</dc:creator>
  <cp:lastModifiedBy>ea_khabarova</cp:lastModifiedBy>
  <cp:revision>8</cp:revision>
  <dcterms:created xsi:type="dcterms:W3CDTF">2026-09-17T15:51:00Z</dcterms:created>
  <dcterms:modified xsi:type="dcterms:W3CDTF">2026-10-21T12:17:09Z</dcterms:modified>
  <cp:version>983040</cp:version>
</cp:coreProperties>
</file>