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9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053" cy="71666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4053" cy="716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20pt;height:56.43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52"/>
      </w:pPr>
      <w:r>
        <w:t xml:space="preserve">АДМИНИСТРАЦИЯ ЛЕНИНГРАДСКОЙ ОБЛАСТИ</w:t>
      </w:r>
      <w:r/>
    </w:p>
    <w:p>
      <w:pPr>
        <w:pStyle w:val="752"/>
        <w:rPr>
          <w:b/>
          <w:bCs/>
        </w:rPr>
      </w:pPr>
      <w:r>
        <w:rPr>
          <w:b/>
          <w:bCs/>
        </w:rPr>
        <w:t xml:space="preserve">КОМИТЕТ ПО СОХРАНЕНИЮ КУЛЬТУРНОГО НАСЛЕДИЯ ЛЕНИНГРАДСКОЙ ОБЛАСТИ</w:t>
      </w:r>
      <w:r>
        <w:rPr>
          <w:b/>
          <w:bCs/>
        </w:rPr>
      </w:r>
      <w:r>
        <w:rPr>
          <w:b/>
          <w:bCs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</w:p>
    <w:p>
      <w:pPr>
        <w:pStyle w:val="753"/>
      </w:pPr>
      <w:r>
        <w:t xml:space="preserve">ПРИКАЗ</w:t>
      </w:r>
      <w:r/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«___»____________2026 г.                                                         №___________________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Санкт-Петербург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 внесении изменений в приказ комитета по культуре Ленинградской области от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15 ноября 2018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года № 01-03/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18-243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«Об установлении границ территории и предмета охраны объекта культурного наследия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регионального значения «Братское захоронение советских воинов, погибших в 1941-44 гг.» по адресу: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Ленинградская область, Бокситогорский муниципальный район,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г. Бокситогорск, близ ж.д. станции, в 1 км к северу от вокзала»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699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со статьями 3.1, 9.2, 20, 33 Федерального закона </w:t>
        <w:br w:type="textWrapping" w:clear="all"/>
        <w:t xml:space="preserve">от 25 июня 2002 года № 73-ФЗ «Об объектах культурного наследия (памятниках истории и культуры) народов Российск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 Федерации», статьей 4 Областного закона Ленинградской области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и, расположенных на территории Ленинградской области», постановлением Правительства Ленинградской области от 21 декабря 2020 года № 839 «Об органах исполнительной власти Ленинградской области в сфере культуры и туризма», подпунктами 2.1.2, 2.3.7 Положения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на основании сведений, предоставленных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Обществом с огранич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енной ответственностью «КадастрГеоТехПроект» в 2026 году в рамках исполнения государственного контракта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от 10 июля 2026 года № 026/2026-ИНВ, в целях устранения технических ошибок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в определении координат поворотных точек, приказываю: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 Внести изменения в приложение 1 к приказу комитета по культуре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15 ноября 2018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года № 01-03/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18-243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«Об установлении границ территории и предмета охраны объекта культурного наследия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регионального значения «Братское захоронение советских воинов, погибших в 1941-44 гг.»                    по адресу: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Ленинградская область, Бокситогорский муниципальный район,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г. Бокситогорск, близ ж.д. станции, в 1 км к северу от вокзала»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, изложив его                       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редакции, согласно приложению к настоящему приказу.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                        и предоставление сведений, содержащихся в Едином государственном реестре недвижимости;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 1 настоящего приказа.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3. Сектору делопроизв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4. Контроль за исполнением настоящего приказа оставляю за собой.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5. 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0" w:type="dxa"/>
            <w:vAlign w:val="top"/>
            <w:textDirection w:val="lrTb"/>
            <w:noWrap w:val="false"/>
          </w:tcPr>
          <w:p>
            <w:pPr>
              <w:pStyle w:val="699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Заместитель председателя комитета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699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по сохранению культурного наследия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699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Ленинградской области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1" w:type="dxa"/>
            <w:vAlign w:val="top"/>
            <w:textDirection w:val="lrTb"/>
            <w:noWrap w:val="false"/>
          </w:tcPr>
          <w:p>
            <w:pPr>
              <w:pStyle w:val="699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699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699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69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ind w:left="4536"/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699"/>
        <w:contextualSpacing/>
        <w:ind w:left="4536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приказу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сохранению культурного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наследия Ленинградской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99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«____»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2026 года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99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57"/>
        <w:ind w:firstLine="0"/>
      </w:pPr>
      <w:r/>
      <w:r/>
    </w:p>
    <w:p>
      <w:pPr>
        <w:pStyle w:val="699"/>
        <w:contextualSpacing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Границы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территории объекта культурного наследия 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Братское захоронение советских в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оинов, погибших в 1941-44 гг.»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адресу: Ленинградская область, Бокситогорский район,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г. Бокситогорск,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близ ж.д. станции, в 1 км к северу от вокзала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699"/>
        <w:contextualSpacing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699"/>
        <w:contextualSpacing/>
        <w:ind w:right="-1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Граница территории памятника проходит: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т точки 1 к точке 2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на юго-запад;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т точки 2 к точке 3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 запад;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т точки 3 к точке 4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 северо-запад;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т точки 4 к точке 5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 северо-восток;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т точки 5 к точке 1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на юго-восток.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Карта (схема) границ территории объекта культурного наследия регионального значения «Братское захоронение советских 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оинов, погибших в 1941-44 гг.»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по адресу: Ленинградская область, Бокситогорский район,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en-US"/>
        </w:rPr>
      </w:r>
    </w:p>
    <w:p>
      <w:pPr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г. Бокситогорск,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близ ж.д. станции, в 1 км к северу от вокзала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en-US"/>
        </w:rPr>
      </w:r>
      <w:r/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116205</wp:posOffset>
                </wp:positionV>
                <wp:extent cx="3865880" cy="3434080"/>
                <wp:effectExtent l="0" t="0" r="0" b="0"/>
                <wp:wrapNone/>
                <wp:docPr id="2" name="_x0000_s1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24878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865879" cy="3434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1;o:allowoverlap:true;o:allowincell:true;mso-position-horizontal-relative:text;margin-left:86.00pt;mso-position-horizontal:absolute;mso-position-vertical-relative:text;margin-top:9.15pt;mso-position-vertical:absolute;width:304.40pt;height:270.4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left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 xml:space="preserve">Условные обозначения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</w:r>
    </w:p>
    <w:p>
      <w:pPr>
        <w:pStyle w:val="699"/>
        <w:jc w:val="center"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ff0000"/>
          <w:position w:val="-1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210185</wp:posOffset>
                </wp:positionH>
                <wp:positionV relativeFrom="paragraph">
                  <wp:posOffset>114300</wp:posOffset>
                </wp:positionV>
                <wp:extent cx="882015" cy="0"/>
                <wp:effectExtent l="0" t="0" r="0" b="0"/>
                <wp:wrapNone/>
                <wp:docPr id="3" name="_x0000_s1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82014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53975">
                          <a:solidFill>
                            <a:srgbClr val="00B05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z-index:251658242;o:allowoverlap:true;o:allowincell:true;mso-position-horizontal-relative:text;margin-left:16.55pt;mso-position-horizontal:absolute;mso-position-vertical-relative:text;margin-top:9.00pt;mso-position-vertical:absolute;width:69.45pt;height:0.00pt;mso-wrap-distance-left:9.00pt;mso-wrap-distance-top:0.00pt;mso-wrap-distance-right:9.00pt;mso-wrap-distance-bottom:0.00pt;visibility:visible;" path="m0,0l100000,100000e" coordsize="100000,100000" fillcolor="#FFFFFF" strokecolor="#00B050" strokeweight="4.25pt">
                <v:path textboxrect="0,0,0,0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lang w:eastAsia="en-US"/>
        </w:rPr>
        <w:t xml:space="preserve">                          </w:t>
      </w:r>
      <w:r>
        <w:rPr>
          <w:rFonts w:ascii="Times New Roman" w:hAnsi="Times New Roman" w:eastAsia="Times New Roman" w:cs="Times New Roman"/>
          <w:lang w:eastAsia="en-US"/>
        </w:rPr>
        <w:t xml:space="preserve">- граница территории объекта культурного наследия регионального значения</w:t>
      </w:r>
      <w:r>
        <w:rPr>
          <w:rFonts w:ascii="Times New Roman" w:hAnsi="Times New Roman" w:eastAsia="Times New Roman" w:cs="Times New Roman"/>
          <w:lang w:eastAsia="en-US"/>
        </w:rPr>
      </w:r>
      <w:r>
        <w:rPr>
          <w:rFonts w:ascii="Times New Roman" w:hAnsi="Times New Roman" w:eastAsia="Times New Roman" w:cs="Times New Roman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  <w:jc w:val="center"/>
        <w:rPr>
          <w:rFonts w:eastAsia="Calibri"/>
          <w:b/>
          <w:sz w:val="27"/>
          <w:szCs w:val="27"/>
          <w:lang w:eastAsia="en-US"/>
        </w:rPr>
      </w:pP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  <w:r>
        <w:rPr>
          <w:rFonts w:eastAsia="Calibri"/>
          <w:b/>
          <w:sz w:val="27"/>
          <w:szCs w:val="27"/>
          <w:lang w:eastAsia="en-US"/>
        </w:rPr>
      </w:r>
    </w:p>
    <w:p>
      <w:pPr>
        <w:pStyle w:val="699"/>
        <w:contextualSpacing/>
        <w:ind w:right="-1"/>
      </w:pPr>
      <w:r>
        <w:rPr>
          <w:rFonts w:eastAsia="Calibri"/>
          <w:b/>
          <w:sz w:val="27"/>
          <w:szCs w:val="27"/>
          <w:lang w:eastAsia="en-US"/>
        </w:rPr>
      </w:r>
      <w:r/>
      <w:r/>
    </w:p>
    <w:p>
      <w:pPr>
        <w:pStyle w:val="699"/>
        <w:contextualSpacing/>
        <w:ind w:right="-1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Перечень координат поворотных (характерных) точек границ территории объекта культурного наследия регионального значения 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Братское захоронение советских воинов, погибш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их в 1941-44 гг.»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по адресу: Ленинградская область, Бокситогорский район, г. Бокситог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орск, близ ж.д. станции, в 1 км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к северу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от вокзала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pStyle w:val="699"/>
        <w:contextualSpacing/>
        <w:ind w:right="-1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1408430</wp:posOffset>
                </wp:positionH>
                <wp:positionV relativeFrom="paragraph">
                  <wp:posOffset>167005</wp:posOffset>
                </wp:positionV>
                <wp:extent cx="3613150" cy="2948305"/>
                <wp:effectExtent l="0" t="0" r="0" b="0"/>
                <wp:wrapNone/>
                <wp:docPr id="4" name="_x0000_s11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2347336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613149" cy="2948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524288;o:allowoverlap:true;o:allowincell:true;mso-position-horizontal-relative:text;margin-left:110.90pt;mso-position-horizontal:absolute;mso-position-vertical-relative:text;margin-top:13.15pt;mso-position-vertical:absolute;width:284.50pt;height:232.15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  <w:r>
        <w:rPr>
          <w:rFonts w:eastAsia="Calibri"/>
          <w:sz w:val="27"/>
          <w:szCs w:val="27"/>
          <w:lang w:eastAsia="en-US"/>
        </w:rPr>
      </w:r>
    </w:p>
    <w:p>
      <w:pPr>
        <w:pStyle w:val="699"/>
        <w:contextualSpacing/>
        <w:ind w:right="-1"/>
        <w:rPr>
          <w:b/>
          <w:sz w:val="16"/>
          <w:szCs w:val="28"/>
        </w:rPr>
      </w:pPr>
      <w:r>
        <w:rPr>
          <w:b/>
          <w:sz w:val="16"/>
          <w:szCs w:val="28"/>
        </w:rPr>
      </w:r>
      <w:r>
        <w:rPr>
          <w:b/>
          <w:sz w:val="16"/>
          <w:szCs w:val="28"/>
        </w:rPr>
      </w:r>
      <w:r>
        <w:rPr>
          <w:b/>
          <w:sz w:val="16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>
        <w:tblPrEx/>
        <w:trPr/>
        <w:tc>
          <w:tcPr>
            <w:tcW w:w="3473" w:type="dxa"/>
            <w:vAlign w:val="center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Обозначение (номер) характерной точки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Долгота (Х)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Широта (У)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385439.73</w:t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3243966.32</w:t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385382.83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3243940.99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385390.39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3243908.47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385428.05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3243838.24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699"/>
              <w:contextualSpacing/>
              <w:ind w:right="-1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385493.33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W w:w="3474" w:type="dxa"/>
            <w:vAlign w:val="top"/>
            <w:textDirection w:val="lrTb"/>
            <w:noWrap w:val="false"/>
          </w:tcPr>
          <w:p>
            <w:pPr>
              <w:pStyle w:val="699"/>
              <w:jc w:val="center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3243868.05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eastAsia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</w:tbl>
    <w:p>
      <w:pPr>
        <w:pStyle w:val="69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9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Определение географических координат характерных точек границы территории объекта культурного наследия выполне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 в местной системе координат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МСК-47,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зона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9"/>
        <w:contextualSpacing/>
        <w:ind w:right="-1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Режим использования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Братское захоронение советских воинов, погибш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их               в 1941-44 гг.»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по адресу: Ленинградская область, Бокситогорский район,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г. Бокситогорск, близ ж.д. станции, в 1 км к северу от вокзала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r>
    </w:p>
    <w:p>
      <w:pPr>
        <w:pStyle w:val="699"/>
        <w:contextualSpacing/>
        <w:ind w:right="-1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Памятника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разрешается: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проведение работ 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(меры, направленные на обеспечение физическ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ой сохранности и сохранение историко-культурной ценности объекта культурного наследия, предусматривающие консервацию, ремонт, реставрацию, включающие в себя научно-исследовательские, изыскательские, проектные и производственные работы, научное руководство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проведением работ по сохранению объекта культурного наследия, технический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авторский надзор за проведением этих работ);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реконструкция, ремонт существующих дорог, инженерных коммуникаций, благоустройство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Памятни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запрещается: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строительство объектов капитального строительства и увеличение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объемно-пространственных характеристик существующих на территории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объектов капитального строительства; проведение земляных, строительных, мелиоративных работ и иных работ, за исключением работ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установка рекламных конструкций, распространение наружной рекламы;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99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осуществлен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с объектами культурного наследия.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699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136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Verdana">
    <w:panose1 w:val="020B0604030504040204"/>
  </w:font>
  <w:font w:name="Arial">
    <w:panose1 w:val="020B0604020202020204"/>
  </w:font>
  <w:font w:name="Courier New">
    <w:panose1 w:val="02070309020205020404"/>
  </w:font>
  <w:font w:name="Cambria">
    <w:panose1 w:val="02040803050406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5"/>
      <w:jc w:val="center"/>
    </w:pPr>
    <w:r/>
    <w:r/>
  </w:p>
  <w:p>
    <w:pPr>
      <w:pStyle w:val="71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6"/>
        <w:szCs w:val="26"/>
        <w:u w:val="none"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6"/>
        <w:szCs w:val="26"/>
        <w:u w:val="none"/>
        <w:lang w:val="ru-RU"/>
      </w:rPr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5">
    <w:multiLevelType w:val="hybridMultilevel"/>
    <w:lvl w:ilvl="0">
      <w:start w:val="25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65" w:hanging="11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4"/>
      <w:numFmt w:val="decimal"/>
      <w:isLgl w:val="false"/>
      <w:suff w:val="tab"/>
      <w:lvlText w:val="%1.%2."/>
      <w:lvlJc w:val="left"/>
      <w:pPr>
        <w:ind w:left="19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6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9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  <w:tabs>
          <w:tab w:val="num" w:pos="1715" w:leader="none"/>
        </w:tabs>
      </w:pPr>
      <w:rPr>
        <w:rFonts w:ascii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32" w:hanging="705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70" w:hanging="1470"/>
      </w:pPr>
    </w:lvl>
    <w:lvl w:ilvl="1">
      <w:start w:val="1"/>
      <w:numFmt w:val="decimal"/>
      <w:isLgl w:val="false"/>
      <w:suff w:val="tab"/>
      <w:lvlText w:val="%1.%2."/>
      <w:lvlJc w:val="left"/>
      <w:pPr>
        <w:ind w:left="2190" w:hanging="147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910" w:hanging="147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30" w:hanging="147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350" w:hanging="147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70" w:hanging="147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6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3"/>
      <w:numFmt w:val="decimal"/>
      <w:isLgl w:val="false"/>
      <w:suff w:val="tab"/>
      <w:lvlText w:val="%1.%2"/>
      <w:lvlJc w:val="left"/>
      <w:pPr>
        <w:ind w:left="1650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909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216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54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12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19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27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34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41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48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55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6300" w:leader="none"/>
        </w:tabs>
      </w:pPr>
    </w:lvl>
  </w:abstractNum>
  <w:num w:numId="1">
    <w:abstractNumId w:val="3"/>
  </w:num>
  <w:num w:numId="2">
    <w:abstractNumId w:val="31"/>
  </w:num>
  <w:num w:numId="3">
    <w:abstractNumId w:val="2"/>
  </w:num>
  <w:num w:numId="4">
    <w:abstractNumId w:val="11"/>
  </w:num>
  <w:num w:numId="5">
    <w:abstractNumId w:val="22"/>
  </w:num>
  <w:num w:numId="6">
    <w:abstractNumId w:val="5"/>
  </w:num>
  <w:num w:numId="7">
    <w:abstractNumId w:val="6"/>
  </w:num>
  <w:num w:numId="8">
    <w:abstractNumId w:val="33"/>
  </w:num>
  <w:num w:numId="9">
    <w:abstractNumId w:val="14"/>
  </w:num>
  <w:num w:numId="10">
    <w:abstractNumId w:val="20"/>
  </w:num>
  <w:num w:numId="11">
    <w:abstractNumId w:val="30"/>
  </w:num>
  <w:num w:numId="12">
    <w:abstractNumId w:val="32"/>
  </w:num>
  <w:num w:numId="13">
    <w:abstractNumId w:val="12"/>
  </w:num>
  <w:num w:numId="14">
    <w:abstractNumId w:val="24"/>
  </w:num>
  <w:num w:numId="15">
    <w:abstractNumId w:val="27"/>
  </w:num>
  <w:num w:numId="16">
    <w:abstractNumId w:val="0"/>
  </w:num>
  <w:num w:numId="17">
    <w:abstractNumId w:val="21"/>
  </w:num>
  <w:num w:numId="18">
    <w:abstractNumId w:val="28"/>
  </w:num>
  <w:num w:numId="19">
    <w:abstractNumId w:val="2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8"/>
  </w:num>
  <w:num w:numId="23">
    <w:abstractNumId w:val="9"/>
  </w:num>
  <w:num w:numId="24">
    <w:abstractNumId w:val="10"/>
  </w:num>
  <w:num w:numId="25">
    <w:abstractNumId w:val="17"/>
  </w:num>
  <w:num w:numId="26">
    <w:abstractNumId w:val="23"/>
  </w:num>
  <w:num w:numId="27">
    <w:abstractNumId w:val="15"/>
  </w:num>
  <w:num w:numId="28">
    <w:abstractNumId w:val="13"/>
  </w:num>
  <w:num w:numId="29">
    <w:abstractNumId w:val="1"/>
  </w:num>
  <w:num w:numId="30">
    <w:abstractNumId w:val="4"/>
  </w:num>
  <w:num w:numId="31">
    <w:abstractNumId w:val="19"/>
  </w:num>
  <w:num w:numId="32">
    <w:abstractNumId w:val="18"/>
  </w:num>
  <w:num w:numId="33">
    <w:abstractNumId w:val="7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99"/>
    <w:next w:val="69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99"/>
    <w:next w:val="69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9"/>
    <w:next w:val="69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9"/>
    <w:next w:val="69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9"/>
    <w:next w:val="69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9"/>
    <w:next w:val="69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9"/>
    <w:next w:val="69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9"/>
    <w:next w:val="69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9"/>
    <w:next w:val="69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9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99"/>
    <w:next w:val="69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99"/>
    <w:next w:val="69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99"/>
    <w:next w:val="69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9"/>
    <w:next w:val="69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9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9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99"/>
    <w:next w:val="69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9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9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99"/>
    <w:next w:val="69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9"/>
    <w:next w:val="69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9"/>
    <w:next w:val="69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9"/>
    <w:next w:val="69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9"/>
    <w:next w:val="69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9"/>
    <w:next w:val="69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9"/>
    <w:next w:val="69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9"/>
    <w:next w:val="69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9"/>
    <w:next w:val="69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9"/>
    <w:next w:val="699"/>
    <w:uiPriority w:val="99"/>
    <w:unhideWhenUsed/>
    <w:pPr>
      <w:spacing w:after="0" w:afterAutospacing="0"/>
    </w:pPr>
  </w:style>
  <w:style w:type="paragraph" w:styleId="699" w:default="1">
    <w:name w:val="Normal"/>
    <w:next w:val="699"/>
    <w:link w:val="699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700">
    <w:name w:val="Заголовок 1"/>
    <w:basedOn w:val="699"/>
    <w:next w:val="699"/>
    <w:link w:val="705"/>
    <w:qFormat/>
    <w:pPr>
      <w:jc w:val="center"/>
      <w:keepNext/>
      <w:spacing w:after="0" w:line="360" w:lineRule="auto"/>
      <w:outlineLvl w:val="0"/>
    </w:pPr>
    <w:rPr>
      <w:rFonts w:ascii="Tahoma" w:hAnsi="Tahoma" w:eastAsia="Times New Roman" w:cs="Times New Roman"/>
      <w:b/>
      <w:sz w:val="28"/>
      <w:szCs w:val="20"/>
      <w:lang w:val="en-US" w:eastAsia="en-US"/>
    </w:rPr>
  </w:style>
  <w:style w:type="paragraph" w:styleId="701">
    <w:name w:val="Заголовок 2"/>
    <w:basedOn w:val="699"/>
    <w:next w:val="699"/>
    <w:link w:val="706"/>
    <w:semiHidden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702">
    <w:name w:val="Основной шрифт абзаца"/>
    <w:next w:val="702"/>
    <w:link w:val="699"/>
    <w:uiPriority w:val="1"/>
    <w:semiHidden/>
    <w:unhideWhenUsed/>
  </w:style>
  <w:style w:type="table" w:styleId="703">
    <w:name w:val="Обычная таблица"/>
    <w:next w:val="703"/>
    <w:link w:val="699"/>
    <w:uiPriority w:val="99"/>
    <w:semiHidden/>
    <w:unhideWhenUsed/>
    <w:tblPr/>
  </w:style>
  <w:style w:type="numbering" w:styleId="704">
    <w:name w:val="Нет списка"/>
    <w:next w:val="704"/>
    <w:link w:val="699"/>
    <w:uiPriority w:val="99"/>
    <w:semiHidden/>
    <w:unhideWhenUsed/>
  </w:style>
  <w:style w:type="character" w:styleId="705">
    <w:name w:val="Заголовок 1 Знак"/>
    <w:next w:val="705"/>
    <w:link w:val="700"/>
    <w:rPr>
      <w:rFonts w:ascii="Tahoma" w:hAnsi="Tahoma" w:eastAsia="Times New Roman" w:cs="Times New Roman"/>
      <w:b/>
      <w:sz w:val="28"/>
      <w:szCs w:val="20"/>
      <w:lang w:val="en-US" w:eastAsia="en-US"/>
    </w:rPr>
  </w:style>
  <w:style w:type="character" w:styleId="706">
    <w:name w:val="Заголовок 2 Знак"/>
    <w:next w:val="706"/>
    <w:link w:val="701"/>
    <w:semiHidden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numbering" w:styleId="707">
    <w:name w:val="Нет списка1"/>
    <w:next w:val="704"/>
    <w:link w:val="699"/>
    <w:semiHidden/>
  </w:style>
  <w:style w:type="character" w:styleId="708">
    <w:name w:val="Основной текст_"/>
    <w:next w:val="708"/>
    <w:link w:val="710"/>
    <w:rPr>
      <w:spacing w:val="1"/>
      <w:sz w:val="27"/>
      <w:szCs w:val="27"/>
      <w:shd w:val="clear" w:color="auto" w:fill="ffffff"/>
    </w:rPr>
  </w:style>
  <w:style w:type="character" w:styleId="709">
    <w:name w:val="Основной текст + 13 pt"/>
    <w:next w:val="709"/>
    <w:link w:val="699"/>
    <w:rPr>
      <w:rFonts w:ascii="Times New Roman" w:hAnsi="Times New Roman" w:eastAsia="Times New Roman" w:cs="Times New Roman"/>
      <w:color w:val="000000"/>
      <w:spacing w:val="1"/>
      <w:position w:val="0"/>
      <w:sz w:val="26"/>
      <w:szCs w:val="26"/>
      <w:u w:val="none"/>
      <w:lang w:val="ru-RU"/>
    </w:rPr>
  </w:style>
  <w:style w:type="paragraph" w:styleId="710">
    <w:name w:val="Основной текст1"/>
    <w:basedOn w:val="699"/>
    <w:next w:val="710"/>
    <w:link w:val="708"/>
    <w:pPr>
      <w:jc w:val="both"/>
      <w:spacing w:after="720" w:line="0" w:lineRule="atLeast"/>
      <w:shd w:val="clear" w:color="auto" w:fill="ffffff"/>
      <w:widowControl w:val="off"/>
    </w:pPr>
    <w:rPr>
      <w:spacing w:val="1"/>
      <w:sz w:val="27"/>
      <w:szCs w:val="27"/>
    </w:rPr>
  </w:style>
  <w:style w:type="character" w:styleId="711">
    <w:name w:val="Основной текст + 11.5 pt#Интервал 0 pt"/>
    <w:next w:val="711"/>
    <w:link w:val="699"/>
    <w:rPr>
      <w:rFonts w:ascii="Times New Roman" w:hAnsi="Times New Roman" w:eastAsia="Times New Roman" w:cs="Times New Roman"/>
      <w:color w:val="000000"/>
      <w:spacing w:val="4"/>
      <w:position w:val="0"/>
      <w:sz w:val="23"/>
      <w:szCs w:val="23"/>
      <w:u w:val="none"/>
      <w:lang w:val="ru-RU"/>
    </w:rPr>
  </w:style>
  <w:style w:type="paragraph" w:styleId="712">
    <w:name w:val="Основной текст с отступом"/>
    <w:basedOn w:val="699"/>
    <w:next w:val="712"/>
    <w:link w:val="713"/>
    <w:pPr>
      <w:ind w:left="-284"/>
      <w:jc w:val="center"/>
      <w:spacing w:before="60" w:after="0" w:line="240" w:lineRule="auto"/>
    </w:pPr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character" w:styleId="713">
    <w:name w:val="Основной текст с отступом Знак"/>
    <w:next w:val="713"/>
    <w:link w:val="712"/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table" w:styleId="714">
    <w:name w:val="Сетка таблицы"/>
    <w:basedOn w:val="703"/>
    <w:next w:val="714"/>
    <w:link w:val="699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715">
    <w:name w:val="Верхний колонтитул"/>
    <w:basedOn w:val="699"/>
    <w:next w:val="715"/>
    <w:link w:val="7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716">
    <w:name w:val="Верхний колонтитул Знак"/>
    <w:next w:val="716"/>
    <w:link w:val="715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717">
    <w:name w:val="Нижний колонтитул"/>
    <w:basedOn w:val="699"/>
    <w:next w:val="717"/>
    <w:link w:val="7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718">
    <w:name w:val="Нижний колонтитул Знак"/>
    <w:next w:val="718"/>
    <w:link w:val="717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719">
    <w:name w:val="Текст выноски"/>
    <w:basedOn w:val="699"/>
    <w:next w:val="719"/>
    <w:link w:val="720"/>
    <w:semiHidden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720">
    <w:name w:val="Текст выноски Знак"/>
    <w:next w:val="720"/>
    <w:link w:val="71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721">
    <w:name w:val="Название"/>
    <w:basedOn w:val="699"/>
    <w:next w:val="721"/>
    <w:link w:val="722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722">
    <w:name w:val="Название Знак"/>
    <w:next w:val="722"/>
    <w:link w:val="721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723">
    <w:name w:val="Основной текст"/>
    <w:basedOn w:val="699"/>
    <w:next w:val="723"/>
    <w:link w:val="724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724">
    <w:name w:val="Основной текст Знак"/>
    <w:next w:val="724"/>
    <w:link w:val="723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725">
    <w:name w:val="ConsPlusNonformat"/>
    <w:next w:val="725"/>
    <w:link w:val="699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726">
    <w:name w:val="Номер страницы"/>
    <w:next w:val="726"/>
    <w:link w:val="699"/>
  </w:style>
  <w:style w:type="paragraph" w:styleId="727">
    <w:name w:val="ConsPlusNormal"/>
    <w:next w:val="727"/>
    <w:link w:val="699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728">
    <w:name w:val="Обычный (веб)"/>
    <w:basedOn w:val="699"/>
    <w:next w:val="728"/>
    <w:link w:val="699"/>
    <w:uiPriority w:val="99"/>
    <w:pPr>
      <w:spacing w:before="100" w:beforeAutospacing="1" w:after="100" w:afterAutospacing="1" w:line="240" w:lineRule="auto"/>
    </w:pPr>
    <w:rPr>
      <w:rFonts w:ascii="Verdana" w:hAnsi="Verdana" w:eastAsia="Times New Roman" w:cs="Times New Roman"/>
      <w:color w:val="333366"/>
      <w:sz w:val="12"/>
      <w:szCs w:val="12"/>
      <w:lang w:eastAsia="ru-RU"/>
    </w:rPr>
  </w:style>
  <w:style w:type="character" w:styleId="729">
    <w:name w:val="Строгий"/>
    <w:next w:val="729"/>
    <w:link w:val="699"/>
    <w:uiPriority w:val="22"/>
    <w:qFormat/>
    <w:rPr>
      <w:b/>
      <w:bCs/>
    </w:rPr>
  </w:style>
  <w:style w:type="paragraph" w:styleId="730">
    <w:name w:val="consplusnormal0"/>
    <w:basedOn w:val="699"/>
    <w:next w:val="730"/>
    <w:link w:val="699"/>
    <w:pPr>
      <w:ind w:firstLine="120"/>
      <w:spacing w:before="100" w:after="100" w:line="240" w:lineRule="auto"/>
    </w:pPr>
    <w:rPr>
      <w:rFonts w:ascii="Verdana" w:hAnsi="Verdana" w:eastAsia="Times New Roman" w:cs="Times New Roman"/>
      <w:sz w:val="24"/>
      <w:szCs w:val="24"/>
      <w:lang w:eastAsia="ru-RU"/>
    </w:rPr>
  </w:style>
  <w:style w:type="paragraph" w:styleId="731">
    <w:name w:val="Текст сноски"/>
    <w:basedOn w:val="699"/>
    <w:next w:val="731"/>
    <w:link w:val="732"/>
    <w:uiPriority w:val="99"/>
    <w:unhideWhenUsed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732">
    <w:name w:val="Текст сноски Знак"/>
    <w:next w:val="732"/>
    <w:link w:val="731"/>
    <w:uiPriority w:val="99"/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733">
    <w:name w:val="Знак сноски"/>
    <w:next w:val="733"/>
    <w:link w:val="699"/>
    <w:uiPriority w:val="99"/>
    <w:unhideWhenUsed/>
    <w:rPr>
      <w:rFonts w:cs="Times New Roman"/>
      <w:vertAlign w:val="superscript"/>
    </w:rPr>
  </w:style>
  <w:style w:type="character" w:styleId="734">
    <w:name w:val="Знак примечания"/>
    <w:next w:val="734"/>
    <w:link w:val="699"/>
    <w:rPr>
      <w:sz w:val="16"/>
      <w:szCs w:val="16"/>
    </w:rPr>
  </w:style>
  <w:style w:type="paragraph" w:styleId="735">
    <w:name w:val="Текст примечания"/>
    <w:basedOn w:val="699"/>
    <w:next w:val="735"/>
    <w:link w:val="73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36">
    <w:name w:val="Текст примечания Знак"/>
    <w:next w:val="736"/>
    <w:link w:val="73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37">
    <w:name w:val="Тема примечания"/>
    <w:basedOn w:val="735"/>
    <w:next w:val="735"/>
    <w:link w:val="738"/>
    <w:rPr>
      <w:b/>
      <w:bCs/>
      <w:lang w:val="en-US" w:eastAsia="en-US"/>
    </w:rPr>
  </w:style>
  <w:style w:type="character" w:styleId="738">
    <w:name w:val="Тема примечания Знак"/>
    <w:next w:val="738"/>
    <w:link w:val="737"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character" w:styleId="739">
    <w:name w:val="Гиперссылка"/>
    <w:next w:val="739"/>
    <w:link w:val="699"/>
    <w:rPr>
      <w:color w:val="0000ff"/>
      <w:u w:val="single"/>
    </w:rPr>
  </w:style>
  <w:style w:type="paragraph" w:styleId="740">
    <w:name w:val="Абзац списка"/>
    <w:basedOn w:val="699"/>
    <w:next w:val="740"/>
    <w:link w:val="699"/>
    <w:uiPriority w:val="34"/>
    <w:qFormat/>
    <w:pPr>
      <w:contextualSpacing/>
      <w:ind w:left="720"/>
    </w:pPr>
    <w:rPr>
      <w:rFonts w:ascii="Calibri" w:hAnsi="Calibri" w:eastAsia="Times New Roman" w:cs="Times New Roman"/>
      <w:lang w:eastAsia="ru-RU"/>
    </w:rPr>
  </w:style>
  <w:style w:type="paragraph" w:styleId="741">
    <w:name w:val="Знак Знак Знак Знак Знак Знак Знак"/>
    <w:basedOn w:val="699"/>
    <w:next w:val="741"/>
    <w:link w:val="699"/>
    <w:pPr>
      <w:ind w:firstLine="567"/>
      <w:jc w:val="right"/>
      <w:spacing w:after="160" w:line="240" w:lineRule="exact"/>
    </w:pPr>
    <w:rPr>
      <w:rFonts w:ascii="Arial" w:hAnsi="Arial" w:eastAsia="Times New Roman" w:cs="Times New Roman"/>
      <w:sz w:val="24"/>
      <w:szCs w:val="24"/>
      <w:lang w:val="en-GB"/>
    </w:rPr>
  </w:style>
  <w:style w:type="paragraph" w:styleId="742">
    <w:name w:val="ConsPlusTitle"/>
    <w:next w:val="742"/>
    <w:link w:val="699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character" w:styleId="743">
    <w:name w:val="blk"/>
    <w:next w:val="743"/>
    <w:link w:val="699"/>
  </w:style>
  <w:style w:type="numbering" w:styleId="744">
    <w:name w:val="Нет списка11"/>
    <w:next w:val="704"/>
    <w:link w:val="699"/>
    <w:uiPriority w:val="99"/>
    <w:semiHidden/>
    <w:unhideWhenUsed/>
  </w:style>
  <w:style w:type="paragraph" w:styleId="745">
    <w:name w:val="ConsPlusCell"/>
    <w:next w:val="745"/>
    <w:link w:val="699"/>
    <w:uiPriority w:val="99"/>
    <w:rPr>
      <w:rFonts w:ascii="Courier New" w:hAnsi="Courier New" w:cs="Courier New"/>
      <w:lang w:val="ru-RU" w:eastAsia="en-US" w:bidi="ar-SA"/>
    </w:rPr>
  </w:style>
  <w:style w:type="paragraph" w:styleId="746">
    <w:name w:val="ConsPlusDocList"/>
    <w:next w:val="746"/>
    <w:link w:val="699"/>
    <w:uiPriority w:val="99"/>
    <w:rPr>
      <w:rFonts w:ascii="Courier New" w:hAnsi="Courier New" w:cs="Courier New"/>
      <w:lang w:val="ru-RU" w:eastAsia="en-US" w:bidi="ar-SA"/>
    </w:rPr>
  </w:style>
  <w:style w:type="paragraph" w:styleId="747">
    <w:name w:val="ConsPlusTitlePage"/>
    <w:next w:val="747"/>
    <w:link w:val="699"/>
    <w:uiPriority w:val="99"/>
    <w:rPr>
      <w:rFonts w:ascii="Tahoma" w:hAnsi="Tahoma" w:cs="Tahoma"/>
      <w:sz w:val="28"/>
      <w:szCs w:val="28"/>
      <w:lang w:val="ru-RU" w:eastAsia="en-US" w:bidi="ar-SA"/>
    </w:rPr>
  </w:style>
  <w:style w:type="paragraph" w:styleId="748">
    <w:name w:val="ConsPlusJurTerm"/>
    <w:next w:val="748"/>
    <w:link w:val="699"/>
    <w:uiPriority w:val="99"/>
    <w:rPr>
      <w:rFonts w:ascii="Tahoma" w:hAnsi="Tahoma" w:cs="Tahoma"/>
      <w:sz w:val="26"/>
      <w:szCs w:val="26"/>
      <w:lang w:val="ru-RU" w:eastAsia="en-US" w:bidi="ar-SA"/>
    </w:rPr>
  </w:style>
  <w:style w:type="paragraph" w:styleId="749">
    <w:name w:val="Рецензия"/>
    <w:next w:val="749"/>
    <w:link w:val="699"/>
    <w:hidden/>
    <w:uiPriority w:val="99"/>
    <w:semiHidden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750">
    <w:name w:val="Стиль"/>
    <w:next w:val="750"/>
    <w:link w:val="699"/>
    <w:uiPriority w:val="99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751">
    <w:name w:val="Без интервала"/>
    <w:next w:val="751"/>
    <w:link w:val="699"/>
    <w:uiPriority w:val="1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752">
    <w:name w:val="!Шапка"/>
    <w:basedOn w:val="699"/>
    <w:next w:val="752"/>
    <w:link w:val="754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753">
    <w:name w:val="!Приказ"/>
    <w:basedOn w:val="699"/>
    <w:next w:val="753"/>
    <w:link w:val="756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754">
    <w:name w:val="!Шапка Знак"/>
    <w:next w:val="754"/>
    <w:link w:val="752"/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755">
    <w:name w:val="!Заголовок_1"/>
    <w:basedOn w:val="699"/>
    <w:next w:val="755"/>
    <w:link w:val="758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756">
    <w:name w:val="!Приказ Знак"/>
    <w:next w:val="756"/>
    <w:link w:val="753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757">
    <w:name w:val="!Заголовок_2"/>
    <w:basedOn w:val="699"/>
    <w:next w:val="757"/>
    <w:link w:val="759"/>
    <w:qFormat/>
    <w:pPr>
      <w:contextualSpacing/>
      <w:ind w:firstLine="680"/>
      <w:jc w:val="center"/>
      <w:spacing w:after="0" w:line="240" w:lineRule="auto"/>
      <w:outlineLvl w:val="1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758">
    <w:name w:val="!Заголовок_1 Знак"/>
    <w:next w:val="758"/>
    <w:link w:val="755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759">
    <w:name w:val="!Заголовок_2 Знак"/>
    <w:next w:val="759"/>
    <w:link w:val="757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1613" w:default="1">
    <w:name w:val="Default Paragraph Font"/>
    <w:uiPriority w:val="1"/>
    <w:semiHidden/>
    <w:unhideWhenUsed/>
  </w:style>
  <w:style w:type="numbering" w:styleId="1614" w:default="1">
    <w:name w:val="No List"/>
    <w:uiPriority w:val="99"/>
    <w:semiHidden/>
    <w:unhideWhenUsed/>
  </w:style>
  <w:style w:type="table" w:styleId="161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Викторовна Чевакина</dc:creator>
  <cp:lastModifiedBy>mya_sherbakova</cp:lastModifiedBy>
  <cp:revision>5</cp:revision>
  <dcterms:created xsi:type="dcterms:W3CDTF">2026-09-14T10:05:00Z</dcterms:created>
  <dcterms:modified xsi:type="dcterms:W3CDTF">2026-10-16T05:50:39Z</dcterms:modified>
  <cp:version>983040</cp:version>
</cp:coreProperties>
</file>