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6"/>
        <w:jc w:val="center"/>
        <w:tabs>
          <w:tab w:val="right" w:pos="7655" w:leader="none"/>
        </w:tabs>
        <w:rPr>
          <w:sz w:val="28"/>
          <w:szCs w:val="28"/>
        </w:rPr>
      </w:pPr>
      <w:r/>
      <w:bookmarkStart w:id="0" w:name="undefined"/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786" cy="716517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0289321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69785" cy="716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.87pt;height:56.42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left="0" w:right="-286" w:firstLine="0"/>
        <w:jc w:val="center"/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АДМИНИСТРАЦИЯ ЛЕНИНГРАДСКОЙ ОБЛАСТИ</w:t>
      </w:r>
      <w:r>
        <w:rPr>
          <w:spacing w:val="30"/>
          <w:sz w:val="28"/>
          <w:szCs w:val="28"/>
        </w:rPr>
      </w:r>
      <w:r>
        <w:rPr>
          <w:spacing w:val="30"/>
          <w:sz w:val="28"/>
          <w:szCs w:val="28"/>
        </w:rPr>
      </w:r>
    </w:p>
    <w:p>
      <w:pPr>
        <w:pStyle w:val="926"/>
        <w:ind w:left="0" w:right="-286" w:firstLine="0"/>
        <w:jc w:val="center"/>
        <w:rPr>
          <w:b/>
          <w:spacing w:val="30"/>
          <w:sz w:val="28"/>
          <w:szCs w:val="28"/>
          <w:lang w:eastAsia="en-US"/>
        </w:rPr>
      </w:pPr>
      <w:r>
        <w:rPr>
          <w:b/>
          <w:spacing w:val="30"/>
          <w:sz w:val="28"/>
          <w:szCs w:val="28"/>
          <w:lang w:val="en-US" w:eastAsia="en-US"/>
        </w:rPr>
        <w:t xml:space="preserve">КОМИТЕТ </w:t>
      </w:r>
      <w:r>
        <w:rPr>
          <w:b/>
          <w:spacing w:val="30"/>
          <w:sz w:val="28"/>
          <w:szCs w:val="28"/>
          <w:lang w:eastAsia="en-US"/>
        </w:rPr>
        <w:t xml:space="preserve">ПО СОХРАНЕНИЮ КУЛЬТУРНОГО НАСЛЕДИЯ ЛЕНИНГРАДСКОЙ ОБЛАСТИ</w:t>
      </w:r>
      <w:r>
        <w:rPr>
          <w:b/>
          <w:spacing w:val="30"/>
          <w:sz w:val="28"/>
          <w:szCs w:val="28"/>
          <w:lang w:eastAsia="en-US"/>
        </w:rPr>
      </w:r>
      <w:r>
        <w:rPr>
          <w:b/>
          <w:spacing w:val="30"/>
          <w:sz w:val="28"/>
          <w:szCs w:val="28"/>
          <w:lang w:eastAsia="en-US"/>
        </w:rPr>
      </w:r>
    </w:p>
    <w:p>
      <w:pPr>
        <w:pStyle w:val="926"/>
        <w:ind w:left="0" w:right="-286" w:firstLine="0"/>
        <w:jc w:val="center"/>
        <w:rPr>
          <w:sz w:val="2"/>
          <w:szCs w:val="28"/>
        </w:rPr>
        <w:pBdr>
          <w:bottom w:val="single" w:color="000000" w:sz="12" w:space="0"/>
        </w:pBdr>
      </w:pPr>
      <w:r>
        <w:rPr>
          <w:sz w:val="2"/>
          <w:szCs w:val="28"/>
        </w:rPr>
      </w:r>
      <w:r>
        <w:rPr>
          <w:sz w:val="2"/>
          <w:szCs w:val="28"/>
        </w:rPr>
      </w:r>
      <w:r>
        <w:rPr>
          <w:sz w:val="2"/>
          <w:szCs w:val="28"/>
        </w:rPr>
      </w:r>
    </w:p>
    <w:p>
      <w:pPr>
        <w:pStyle w:val="926"/>
        <w:ind w:left="567" w:right="-286"/>
        <w:jc w:val="center"/>
        <w:rPr>
          <w:b/>
          <w:spacing w:val="80"/>
          <w:sz w:val="28"/>
          <w:szCs w:val="28"/>
        </w:rPr>
      </w:pPr>
      <w:r>
        <w:rPr>
          <w:b/>
          <w:spacing w:val="80"/>
          <w:sz w:val="28"/>
          <w:szCs w:val="28"/>
        </w:rPr>
      </w:r>
      <w:r>
        <w:rPr>
          <w:b/>
          <w:spacing w:val="80"/>
          <w:sz w:val="28"/>
          <w:szCs w:val="28"/>
        </w:rPr>
      </w:r>
      <w:r>
        <w:rPr>
          <w:b/>
          <w:spacing w:val="80"/>
          <w:sz w:val="28"/>
          <w:szCs w:val="28"/>
        </w:rPr>
      </w:r>
    </w:p>
    <w:p>
      <w:pPr>
        <w:pStyle w:val="926"/>
        <w:ind w:left="0" w:right="-28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26"/>
        <w:ind w:left="567" w:right="-286"/>
        <w:jc w:val="center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jc w:val="right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«___</w:t>
      </w:r>
      <w:r>
        <w:rPr>
          <w:sz w:val="28"/>
          <w:szCs w:val="28"/>
        </w:rPr>
        <w:t xml:space="preserve">»____________2026</w:t>
      </w:r>
      <w:r>
        <w:rPr>
          <w:sz w:val="28"/>
          <w:szCs w:val="28"/>
        </w:rPr>
        <w:t xml:space="preserve"> г.    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№________________</w:t>
      </w:r>
      <w:r>
        <w:rPr>
          <w:sz w:val="28"/>
          <w:szCs w:val="28"/>
        </w:rPr>
        <w:t xml:space="preserve">        Санкт-Петербург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rPr>
          <w:sz w:val="28"/>
          <w:szCs w:val="28"/>
          <w:u w:val="single"/>
        </w:rPr>
      </w:pPr>
      <w:r/>
      <w:bookmarkEnd w:id="0"/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926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включении </w:t>
      </w:r>
      <w:r>
        <w:rPr>
          <w:b/>
          <w:sz w:val="28"/>
          <w:szCs w:val="28"/>
        </w:rPr>
        <w:t xml:space="preserve">выявленного объекта культурного наследия </w:t>
        <w:br/>
      </w:r>
      <w:r>
        <w:rPr>
          <w:b/>
          <w:sz w:val="28"/>
          <w:szCs w:val="28"/>
        </w:rPr>
        <w:t xml:space="preserve">«Высота 171.1, урочище </w:t>
      </w:r>
      <w:r>
        <w:rPr>
          <w:b/>
          <w:sz w:val="28"/>
          <w:szCs w:val="28"/>
        </w:rPr>
        <w:t xml:space="preserve">Сийранмяки» по адресу: Ленинградская область, Выборгский район, </w:t>
      </w:r>
      <w:r>
        <w:rPr>
          <w:b/>
          <w:sz w:val="28"/>
          <w:szCs w:val="28"/>
        </w:rPr>
        <w:t xml:space="preserve">Первомайское сельское поселение, урочище Сийранмяки</w:t>
      </w:r>
      <w:r>
        <w:rPr>
          <w:b/>
          <w:bCs/>
          <w:sz w:val="28"/>
          <w:szCs w:val="28"/>
        </w:rPr>
        <w:t xml:space="preserve">,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единый государственный реестр объектов культурного наследия (памятников и</w:t>
      </w:r>
      <w:r>
        <w:rPr>
          <w:b/>
          <w:sz w:val="28"/>
          <w:szCs w:val="28"/>
        </w:rPr>
        <w:t xml:space="preserve">стории и культуры) народов Российской Федерации в качестве объекта культурного наследия  регионального </w:t>
      </w:r>
      <w:r>
        <w:rPr>
          <w:b/>
          <w:sz w:val="28"/>
          <w:szCs w:val="28"/>
        </w:rPr>
        <w:t xml:space="preserve">значения </w:t>
        <w:br/>
        <w:t xml:space="preserve">«</w:t>
      </w:r>
      <w:r>
        <w:rPr>
          <w:b/>
          <w:sz w:val="28"/>
          <w:szCs w:val="28"/>
        </w:rPr>
        <w:t xml:space="preserve">Высота 171.0 (урочище Сийранмяки) – место </w:t>
      </w:r>
      <w:r>
        <w:rPr>
          <w:b/>
          <w:sz w:val="28"/>
          <w:szCs w:val="28"/>
        </w:rPr>
        <w:t xml:space="preserve">прорыва финской оборонительной линии VT 14-16 июня 1944 года», </w:t>
      </w:r>
      <w:r>
        <w:rPr>
          <w:b/>
          <w:bCs/>
          <w:sz w:val="28"/>
          <w:szCs w:val="28"/>
        </w:rPr>
        <w:t xml:space="preserve">местонахождение (адрес)</w:t>
      </w:r>
      <w:r>
        <w:rPr>
          <w:b/>
          <w:bCs/>
          <w:sz w:val="28"/>
          <w:szCs w:val="28"/>
        </w:rPr>
        <w:t xml:space="preserve">:</w:t>
      </w:r>
      <w:r>
        <w:rPr>
          <w:b/>
          <w:sz w:val="28"/>
          <w:szCs w:val="28"/>
        </w:rPr>
        <w:t xml:space="preserve"> Ленинградская область, Выборгский район, </w:t>
      </w:r>
      <w:r>
        <w:rPr>
          <w:b/>
          <w:sz w:val="28"/>
          <w:szCs w:val="28"/>
        </w:rPr>
        <w:t xml:space="preserve">Первомайское сельское поселение, урочище Сийранмяки</w:t>
      </w:r>
      <w:r>
        <w:rPr>
          <w:b/>
          <w:sz w:val="28"/>
          <w:szCs w:val="28"/>
        </w:rPr>
        <w:t xml:space="preserve">, утверждении границ территории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 предмета охраны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26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2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3.1, 5.1, 9.2, 18, 33 Федераль</w:t>
      </w:r>
      <w:r>
        <w:rPr>
          <w:sz w:val="28"/>
          <w:szCs w:val="28"/>
        </w:rPr>
        <w:t xml:space="preserve">ного </w:t>
      </w:r>
      <w:r>
        <w:rPr>
          <w:sz w:val="28"/>
          <w:szCs w:val="28"/>
        </w:rPr>
        <w:t xml:space="preserve">закона </w:t>
        <w:br/>
        <w:t xml:space="preserve">от 25 июня 2002 года № 73-ФЗ «Об объектах культурного наследия (памятниках истории и культуры) народов Российской Федерации», статьей 4 Областного закона Ленинградской области от 25 декабря 2015 года № 140-оз </w:t>
        <w:br/>
        <w:t xml:space="preserve">«О государственной охране, сохранении,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области», постановлением Правительства Ленинградской области от 21 декабря 2020 года </w:t>
        <w:br/>
        <w:t xml:space="preserve">№ 839 </w:t>
      </w:r>
      <w:r>
        <w:rPr>
          <w:sz w:val="28"/>
          <w:szCs w:val="28"/>
        </w:rPr>
        <w:t xml:space="preserve">«Об органах исполнительной власти Ленинградской области в сфере культуры и туризма»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Положением о едином государственном реестре объектов культурного наследия (памятников истории и культуры) народов Российской Федерации, утвержденным приказом Министерства культуры Российской Федерации от 3 октября 2011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954, подпунктов</w:t>
      </w:r>
      <w:r>
        <w:rPr>
          <w:sz w:val="28"/>
          <w:szCs w:val="28"/>
        </w:rPr>
        <w:t xml:space="preserve"> 2.1.2, 2.3.7 Положения </w:t>
        <w:br/>
      </w:r>
      <w:r>
        <w:rPr>
          <w:sz w:val="28"/>
          <w:szCs w:val="28"/>
        </w:rPr>
        <w:t xml:space="preserve">о комитете по сохранению культурного наследия Ленинградской области, утвержденного постановлением Правительства Ленинградской области </w:t>
        <w:br/>
      </w:r>
      <w:r>
        <w:rPr>
          <w:sz w:val="28"/>
          <w:szCs w:val="28"/>
        </w:rPr>
        <w:t xml:space="preserve">от 24 декабря 2020 года № 850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положительного </w:t>
      </w:r>
      <w:r>
        <w:rPr>
          <w:sz w:val="28"/>
          <w:szCs w:val="28"/>
        </w:rPr>
        <w:t xml:space="preserve">заключения</w:t>
      </w:r>
      <w:r>
        <w:rPr>
          <w:sz w:val="28"/>
          <w:szCs w:val="28"/>
        </w:rPr>
        <w:t xml:space="preserve"> государственной историко-культу</w:t>
      </w:r>
      <w:r>
        <w:rPr>
          <w:sz w:val="28"/>
          <w:szCs w:val="28"/>
        </w:rPr>
        <w:t xml:space="preserve">рной экспертизы, выполненной </w:t>
      </w:r>
      <w:r>
        <w:rPr>
          <w:sz w:val="28"/>
          <w:szCs w:val="28"/>
        </w:rPr>
        <w:t xml:space="preserve">экспертной организацией обществом с ограниченной ответственностью «Союз Экспертов Северо-Запада» в 2026 году, приказываю: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1. Включить выявленный объект </w:t>
      </w:r>
      <w:r>
        <w:rPr>
          <w:sz w:val="28"/>
          <w:szCs w:val="28"/>
        </w:rPr>
        <w:t xml:space="preserve">культурного наследия </w:t>
      </w:r>
      <w:r>
        <w:rPr>
          <w:b w:val="0"/>
          <w:bCs w:val="0"/>
          <w:sz w:val="28"/>
          <w:szCs w:val="28"/>
        </w:rPr>
        <w:t xml:space="preserve">«Высота 171.1, урочище </w:t>
      </w:r>
      <w:r>
        <w:rPr>
          <w:b w:val="0"/>
          <w:bCs w:val="0"/>
          <w:sz w:val="28"/>
          <w:szCs w:val="28"/>
        </w:rPr>
        <w:t xml:space="preserve">Сийранмяки» по адресу: Ленинградская область, Выборгский район, </w:t>
      </w:r>
      <w:r>
        <w:rPr>
          <w:b w:val="0"/>
          <w:bCs w:val="0"/>
          <w:sz w:val="28"/>
          <w:szCs w:val="28"/>
        </w:rPr>
        <w:t xml:space="preserve">Первомайское сельское поселение, урочище Сийранмяки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в единый государственный реестр объектов культурного наследия (памятников </w:t>
      </w:r>
      <w:r>
        <w:rPr>
          <w:sz w:val="28"/>
          <w:szCs w:val="28"/>
        </w:rPr>
        <w:t xml:space="preserve">истории и культуры) народов </w:t>
      </w:r>
      <w:r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 xml:space="preserve">в качестве объекта культурного наследия регионального</w:t>
      </w:r>
      <w:r>
        <w:rPr>
          <w:sz w:val="28"/>
          <w:szCs w:val="28"/>
        </w:rPr>
        <w:t xml:space="preserve"> значения </w:t>
      </w:r>
      <w:r>
        <w:rPr>
          <w:b w:val="0"/>
          <w:bCs w:val="0"/>
          <w:sz w:val="28"/>
          <w:szCs w:val="28"/>
        </w:rPr>
        <w:t xml:space="preserve">«</w:t>
      </w:r>
      <w:r>
        <w:rPr>
          <w:b w:val="0"/>
          <w:bCs w:val="0"/>
          <w:sz w:val="28"/>
          <w:szCs w:val="28"/>
        </w:rPr>
        <w:t xml:space="preserve">Высота 171.0 (урочище Сийранмяки) – место </w:t>
      </w:r>
      <w:r>
        <w:rPr>
          <w:b w:val="0"/>
          <w:bCs w:val="0"/>
          <w:sz w:val="28"/>
          <w:szCs w:val="28"/>
        </w:rPr>
        <w:t xml:space="preserve">прорыва финской оборонительной линии VT 14-16 июня 1944 года», </w:t>
      </w:r>
      <w:r>
        <w:rPr>
          <w:b w:val="0"/>
          <w:bCs w:val="0"/>
          <w:sz w:val="28"/>
          <w:szCs w:val="28"/>
        </w:rPr>
        <w:t xml:space="preserve">1942-1944 г., 14-16 июня 1944 г.,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местонахождение (адрес)</w:t>
      </w:r>
      <w:r>
        <w:rPr>
          <w:b w:val="0"/>
          <w:bCs w:val="0"/>
          <w:sz w:val="28"/>
          <w:szCs w:val="28"/>
        </w:rPr>
        <w:t xml:space="preserve">: Ленинградская область, Выборгский район, </w:t>
      </w:r>
      <w:r>
        <w:rPr>
          <w:b w:val="0"/>
          <w:bCs w:val="0"/>
          <w:sz w:val="28"/>
          <w:szCs w:val="28"/>
        </w:rPr>
        <w:t xml:space="preserve">Первомайское сельское поселение, урочище Сийранмяки</w:t>
      </w:r>
      <w:r>
        <w:rPr>
          <w:sz w:val="28"/>
          <w:szCs w:val="28"/>
        </w:rPr>
        <w:t xml:space="preserve">, </w:t>
        <w:br/>
        <w:t xml:space="preserve">вид –  достопримечательное место.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r>
        <w:rPr>
          <w:sz w:val="28"/>
          <w:szCs w:val="28"/>
        </w:rPr>
        <w:t xml:space="preserve">Утвердить границы территории</w:t>
      </w:r>
      <w:r>
        <w:rPr>
          <w:sz w:val="28"/>
          <w:szCs w:val="28"/>
        </w:rPr>
        <w:t xml:space="preserve"> объекта культурного наследия регионального</w:t>
      </w:r>
      <w:r>
        <w:rPr>
          <w:sz w:val="28"/>
          <w:szCs w:val="28"/>
        </w:rPr>
        <w:t xml:space="preserve"> значения «</w:t>
      </w:r>
      <w:r>
        <w:rPr>
          <w:b w:val="0"/>
          <w:bCs w:val="0"/>
          <w:sz w:val="28"/>
          <w:szCs w:val="28"/>
        </w:rPr>
        <w:t xml:space="preserve">Высота 171.0 (урочище Сийранмяки) – место </w:t>
      </w:r>
      <w:r>
        <w:rPr>
          <w:b w:val="0"/>
          <w:bCs w:val="0"/>
          <w:sz w:val="28"/>
          <w:szCs w:val="28"/>
        </w:rPr>
        <w:t xml:space="preserve">прорыва финской оборонительной линии VT 14-16 июня 1944 года», </w:t>
      </w:r>
      <w:r>
        <w:rPr>
          <w:b w:val="0"/>
          <w:bCs w:val="0"/>
          <w:sz w:val="28"/>
          <w:szCs w:val="28"/>
        </w:rPr>
        <w:t xml:space="preserve">местонахождение (адрес)</w:t>
      </w:r>
      <w:r>
        <w:rPr>
          <w:b w:val="0"/>
          <w:bCs w:val="0"/>
          <w:sz w:val="28"/>
          <w:szCs w:val="28"/>
        </w:rPr>
        <w:t xml:space="preserve">: Ленинградская область, Выборгский район, </w:t>
      </w:r>
      <w:r>
        <w:rPr>
          <w:b w:val="0"/>
          <w:bCs w:val="0"/>
          <w:sz w:val="28"/>
          <w:szCs w:val="28"/>
        </w:rPr>
        <w:t xml:space="preserve">Первомайское сельское поселение, урочище Сийранмяки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сог</w:t>
      </w:r>
      <w:r>
        <w:rPr>
          <w:sz w:val="28"/>
          <w:szCs w:val="28"/>
        </w:rPr>
        <w:t xml:space="preserve">ласно приложению </w:t>
      </w:r>
      <w:r>
        <w:rPr>
          <w:sz w:val="28"/>
          <w:szCs w:val="28"/>
        </w:rPr>
        <w:t xml:space="preserve">№ 1 к настоящему приказу.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left="0" w:firstLine="0"/>
        <w:jc w:val="both"/>
        <w:tabs>
          <w:tab w:val="num" w:pos="-540" w:leader="none"/>
          <w:tab w:val="clear" w:pos="1260" w:leader="none"/>
        </w:tabs>
      </w:pPr>
      <w:r>
        <w:rPr>
          <w:sz w:val="28"/>
          <w:szCs w:val="28"/>
        </w:rPr>
        <w:t xml:space="preserve">       3. Утвердит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предмет</w:t>
      </w:r>
      <w:r>
        <w:rPr>
          <w:sz w:val="28"/>
          <w:szCs w:val="28"/>
        </w:rPr>
        <w:t xml:space="preserve"> 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 культурного наследия </w:t>
      </w:r>
      <w:r>
        <w:rPr>
          <w:sz w:val="28"/>
          <w:szCs w:val="28"/>
        </w:rPr>
        <w:t xml:space="preserve">регионального</w:t>
      </w:r>
      <w:r>
        <w:rPr>
          <w:sz w:val="28"/>
          <w:szCs w:val="28"/>
        </w:rPr>
        <w:t xml:space="preserve"> значения «</w:t>
      </w:r>
      <w:r>
        <w:rPr>
          <w:b w:val="0"/>
          <w:bCs w:val="0"/>
          <w:sz w:val="28"/>
          <w:szCs w:val="28"/>
        </w:rPr>
        <w:t xml:space="preserve">Высота 171.0 (урочище Сийранмяки) – место </w:t>
      </w:r>
      <w:r>
        <w:rPr>
          <w:b w:val="0"/>
          <w:bCs w:val="0"/>
          <w:sz w:val="28"/>
          <w:szCs w:val="28"/>
        </w:rPr>
        <w:t xml:space="preserve">прорыва финской оборонительной линии VT 14-16 июня 1944 года», </w:t>
      </w:r>
      <w:r>
        <w:rPr>
          <w:b w:val="0"/>
          <w:bCs w:val="0"/>
          <w:sz w:val="28"/>
          <w:szCs w:val="28"/>
        </w:rPr>
        <w:t xml:space="preserve">местонахождение (адрес)</w:t>
      </w:r>
      <w:r>
        <w:rPr>
          <w:b w:val="0"/>
          <w:bCs w:val="0"/>
          <w:sz w:val="28"/>
          <w:szCs w:val="28"/>
        </w:rPr>
        <w:t xml:space="preserve">: Ленинградская область, Выборгский район, </w:t>
      </w:r>
      <w:r>
        <w:rPr>
          <w:b w:val="0"/>
          <w:bCs w:val="0"/>
          <w:sz w:val="28"/>
          <w:szCs w:val="28"/>
        </w:rPr>
        <w:t xml:space="preserve">Первомайское сельское поселение, урочище Сийранмяки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согласно приложению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настоящему приказу</w:t>
      </w:r>
      <w:r>
        <w:rPr>
          <w:sz w:val="28"/>
          <w:szCs w:val="28"/>
        </w:rPr>
        <w:t xml:space="preserve">.</w:t>
      </w:r>
      <w:r/>
    </w:p>
    <w:p>
      <w:pPr>
        <w:pStyle w:val="926"/>
        <w:ind w:left="0" w:firstLine="0"/>
        <w:jc w:val="both"/>
        <w:tabs>
          <w:tab w:val="num" w:pos="-540" w:leader="none"/>
          <w:tab w:val="clear" w:pos="126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 4. </w:t>
      </w:r>
      <w:r>
        <w:rPr>
          <w:sz w:val="28"/>
          <w:szCs w:val="28"/>
        </w:rPr>
        <w:t xml:space="preserve">Исключить </w:t>
      </w:r>
      <w:r>
        <w:rPr>
          <w:sz w:val="28"/>
          <w:szCs w:val="28"/>
        </w:rPr>
        <w:t xml:space="preserve">выявленный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культурного наследия </w:t>
      </w:r>
      <w:r>
        <w:rPr>
          <w:b w:val="0"/>
          <w:bCs w:val="0"/>
          <w:sz w:val="28"/>
          <w:szCs w:val="28"/>
        </w:rPr>
        <w:t xml:space="preserve">«Высота 171.1, урочище </w:t>
      </w:r>
      <w:r>
        <w:rPr>
          <w:b w:val="0"/>
          <w:bCs w:val="0"/>
          <w:sz w:val="28"/>
          <w:szCs w:val="28"/>
        </w:rPr>
        <w:t xml:space="preserve">Сийранмяки» по адресу: Ленинградская область, Выборгский район, </w:t>
      </w:r>
      <w:r>
        <w:rPr>
          <w:b w:val="0"/>
          <w:bCs w:val="0"/>
          <w:sz w:val="28"/>
          <w:szCs w:val="28"/>
        </w:rPr>
        <w:t xml:space="preserve">Первомайское сельское поселение, урочище Сийранмяки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Перечня выявленных объектов культурного наследия, расположенных на территории Ленинградской области, включенный п</w:t>
      </w:r>
      <w:r>
        <w:rPr>
          <w:sz w:val="28"/>
          <w:szCs w:val="28"/>
          <w:highlight w:val="none"/>
        </w:rPr>
        <w:t xml:space="preserve">риказом комитета по сохранению культурного наследия Ленинградской области от 17.12.2021 № 01-03/21-199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26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r>
        <w:rPr>
          <w:sz w:val="28"/>
          <w:szCs w:val="28"/>
        </w:rPr>
        <w:t xml:space="preserve">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</w:t>
      </w:r>
      <w:r>
        <w:rPr>
          <w:sz w:val="28"/>
          <w:szCs w:val="28"/>
        </w:rPr>
        <w:t xml:space="preserve"> обеспечить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внесение сведений об объекте культурного наследия регионального значения</w:t>
      </w:r>
      <w:r>
        <w:rPr>
          <w:sz w:val="28"/>
          <w:szCs w:val="28"/>
        </w:rPr>
        <w:t xml:space="preserve">, указанном в п. 1 настоящего приказа, в единый государственный реестр объектов культурного наследия (памятников истории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культуры) народов Российской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</w:t>
      </w:r>
      <w:r>
        <w:rPr>
          <w:sz w:val="28"/>
          <w:szCs w:val="28"/>
        </w:rPr>
        <w:t xml:space="preserve">ление</w:t>
      </w:r>
      <w:r>
        <w:rPr>
          <w:sz w:val="28"/>
          <w:szCs w:val="28"/>
        </w:rPr>
        <w:t xml:space="preserve"> копи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настоящего приказа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сроки, установленные действующим законодательством, в территориальный орган федерального органа исполнительной власти, уполномоченного Правите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0"/>
        <w:ind w:left="0" w:firstLine="284"/>
        <w:jc w:val="both"/>
        <w:rPr>
          <w:sz w:val="28"/>
          <w:szCs w:val="27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направ</w:t>
      </w:r>
      <w:r>
        <w:rPr>
          <w:sz w:val="28"/>
          <w:szCs w:val="28"/>
        </w:rPr>
        <w:t xml:space="preserve">ление</w:t>
      </w:r>
      <w:r>
        <w:rPr>
          <w:sz w:val="28"/>
          <w:szCs w:val="28"/>
        </w:rPr>
        <w:t xml:space="preserve"> письменно</w:t>
      </w:r>
      <w:r>
        <w:rPr>
          <w:sz w:val="28"/>
          <w:szCs w:val="28"/>
        </w:rPr>
        <w:t xml:space="preserve">го уведомления</w:t>
      </w:r>
      <w:r>
        <w:rPr>
          <w:sz w:val="28"/>
          <w:szCs w:val="28"/>
        </w:rPr>
        <w:t xml:space="preserve"> собственнику или иному законному владельцу объекта культурного наследия </w:t>
      </w:r>
      <w:r>
        <w:rPr>
          <w:sz w:val="28"/>
          <w:szCs w:val="28"/>
        </w:rPr>
        <w:t xml:space="preserve">регионального</w:t>
      </w:r>
      <w:r>
        <w:rPr>
          <w:sz w:val="28"/>
          <w:szCs w:val="28"/>
        </w:rPr>
        <w:t xml:space="preserve"> значения,</w:t>
      </w:r>
      <w:r>
        <w:rPr>
          <w:sz w:val="28"/>
          <w:szCs w:val="28"/>
        </w:rPr>
        <w:t xml:space="preserve"> земельного участка в границах территории </w:t>
      </w:r>
      <w:r>
        <w:rPr>
          <w:sz w:val="28"/>
          <w:szCs w:val="28"/>
        </w:rPr>
        <w:t xml:space="preserve">объекта культурного наследия </w:t>
      </w:r>
      <w:r>
        <w:rPr>
          <w:sz w:val="28"/>
          <w:szCs w:val="28"/>
        </w:rPr>
        <w:t xml:space="preserve">регионального </w:t>
      </w:r>
      <w:r>
        <w:rPr>
          <w:sz w:val="28"/>
          <w:szCs w:val="28"/>
        </w:rPr>
        <w:t xml:space="preserve">значения</w:t>
      </w:r>
      <w:r>
        <w:rPr>
          <w:sz w:val="28"/>
          <w:szCs w:val="28"/>
        </w:rPr>
        <w:t xml:space="preserve">, указанного в п.1 настоящего приказа</w:t>
      </w:r>
      <w:r>
        <w:rPr>
          <w:sz w:val="28"/>
          <w:szCs w:val="27"/>
        </w:rPr>
        <w:t xml:space="preserve">.</w:t>
      </w:r>
      <w:r>
        <w:rPr>
          <w:sz w:val="28"/>
          <w:szCs w:val="27"/>
        </w:rPr>
      </w:r>
      <w:r>
        <w:rPr>
          <w:sz w:val="28"/>
          <w:szCs w:val="27"/>
        </w:rPr>
      </w:r>
    </w:p>
    <w:p>
      <w:pPr>
        <w:pStyle w:val="926"/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 6. Сектору делопро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водства и информационного обеспечения комитета </w:t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7. Контроль за исполнением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приказа оставляю за собой.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26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8. Настоящий приказ вступает в силу со дня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  <w:tab/>
        <w:tab/>
        <w:tab/>
        <w:tab/>
        <w:tab/>
        <w:t xml:space="preserve">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Заместитель председателя 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по сохранению культурного наследия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32"/>
          <w:szCs w:val="32"/>
          <w:highlight w:val="none"/>
        </w:rPr>
      </w:pPr>
      <w:r>
        <w:rPr>
          <w:sz w:val="28"/>
          <w:szCs w:val="28"/>
          <w:highlight w:val="none"/>
        </w:rPr>
        <w:t xml:space="preserve">Ленинградской области                                                                              Г.Е. Лазарева</w:t>
      </w: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  <w:sectPr>
          <w:headerReference w:type="default" r:id="rId9"/>
          <w:footnotePr/>
          <w:endnotePr/>
          <w:type w:val="nextPage"/>
          <w:pgSz w:w="11906" w:h="16838" w:orient="portrait"/>
          <w:pgMar w:top="992" w:right="708" w:bottom="822" w:left="1134" w:header="709" w:footer="709" w:gutter="0"/>
          <w:cols w:num="1" w:sep="0" w:space="708" w:equalWidth="1"/>
          <w:docGrid w:linePitch="360"/>
        </w:sect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6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1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6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риказу комитета по сохранению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6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культурного наследия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Ленинградской области</w:t>
      </w:r>
      <w:r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6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т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__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___________ 20</w:t>
      </w:r>
      <w:r>
        <w:rPr>
          <w:sz w:val="26"/>
          <w:szCs w:val="26"/>
        </w:rPr>
        <w:t xml:space="preserve">26 года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№___________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left"/>
        <w:rPr>
          <w:b/>
          <w:bCs/>
          <w:sz w:val="27"/>
          <w:szCs w:val="27"/>
        </w:rPr>
      </w:pPr>
      <w:r>
        <w:rPr>
          <w:b/>
          <w:sz w:val="27"/>
          <w:szCs w:val="27"/>
          <w:highlight w:val="none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pStyle w:val="926"/>
        <w:contextualSpacing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</w:rPr>
        <w:t xml:space="preserve">Границы территории </w:t>
      </w:r>
      <w:r>
        <w:rPr>
          <w:b/>
          <w:bCs/>
          <w:sz w:val="27"/>
          <w:szCs w:val="27"/>
        </w:rPr>
        <w:t xml:space="preserve">объекта культурного наследия </w:t>
      </w:r>
      <w:r>
        <w:rPr>
          <w:sz w:val="28"/>
          <w:szCs w:val="28"/>
        </w:rPr>
        <w:t xml:space="preserve"> </w:t>
      </w:r>
      <w:r>
        <w:rPr>
          <w:b/>
          <w:bCs/>
          <w:sz w:val="27"/>
          <w:szCs w:val="27"/>
        </w:rPr>
        <w:t xml:space="preserve">регионального</w:t>
      </w:r>
      <w:r>
        <w:rPr>
          <w:b/>
          <w:bCs/>
          <w:sz w:val="27"/>
          <w:szCs w:val="27"/>
        </w:rPr>
        <w:t xml:space="preserve"> значения </w:t>
      </w:r>
      <w:r>
        <w:rPr>
          <w:b/>
          <w:bCs/>
          <w:sz w:val="27"/>
          <w:szCs w:val="27"/>
        </w:rPr>
        <w:t xml:space="preserve">«</w:t>
      </w:r>
      <w:r>
        <w:rPr>
          <w:b/>
          <w:bCs/>
          <w:sz w:val="27"/>
          <w:szCs w:val="27"/>
        </w:rPr>
        <w:t xml:space="preserve">Высота 171.0 (урочище Сийранмяки) – место </w:t>
      </w:r>
      <w:r>
        <w:rPr>
          <w:b/>
          <w:bCs/>
          <w:sz w:val="27"/>
          <w:szCs w:val="27"/>
        </w:rPr>
        <w:t xml:space="preserve">прорыва финской оборонительной линии VT 14-16 июня 1944 года», </w:t>
      </w:r>
      <w:r>
        <w:rPr>
          <w:b/>
          <w:bCs/>
          <w:sz w:val="27"/>
          <w:szCs w:val="27"/>
        </w:rPr>
        <w:t xml:space="preserve">местонахождение (адрес)</w:t>
      </w:r>
      <w:r>
        <w:rPr>
          <w:b/>
          <w:bCs/>
          <w:sz w:val="27"/>
          <w:szCs w:val="27"/>
        </w:rPr>
        <w:t xml:space="preserve">: Ленинградская область, Выборгский район, </w:t>
      </w:r>
      <w:r>
        <w:rPr>
          <w:b/>
          <w:bCs/>
          <w:sz w:val="27"/>
          <w:szCs w:val="27"/>
        </w:rPr>
        <w:t xml:space="preserve">Первомайское сельское поселение, урочище Сийранмяки</w:t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pStyle w:val="926"/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</w:rPr>
        <w:t xml:space="preserve">Карта (схема) границ территории объекта культурного наследия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lang w:val="ru-RU"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7661" cy="3927735"/>
                <wp:effectExtent l="6350" t="6350" r="6350" b="6350"/>
                <wp:docPr id="2" name="Рисунок 10" descr="\\192.168.10.3\экспертизы\Дирекция Леноблас ти 3 района 25-26 год\Объекты\Настя\Высота 171, Сийранмяки (Выборгский)\5. Проект границ территории\Проект границ итог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485288" name="Picture 3" descr="\\192.168.10.3\экспертизы\Дирекция Леноблас ти 3 района 25-26 год\Объекты\Настя\Высота 171, Сийранмяки (Выборгский)\5. Проект границ территории\Проект границ итог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847660" cy="39277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0.45pt;height:309.27pt;mso-wrap-distance-left:0.00pt;mso-wrap-distance-top:0.00pt;mso-wrap-distance-right:0.00pt;mso-wrap-distance-bottom:0.00pt;rotation:0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2"/>
          <w:szCs w:val="22"/>
        </w:rPr>
        <w:t xml:space="preserve">Условные обозначения:</w:t>
      </w:r>
      <w:r>
        <w:rPr>
          <w:rFonts w:ascii="Times New Roman" w:hAnsi="Times New Roman"/>
          <w:b/>
          <w:sz w:val="22"/>
          <w:szCs w:val="22"/>
        </w:rPr>
      </w:r>
      <w:r>
        <w:rPr>
          <w:rFonts w:ascii="Times New Roman" w:hAnsi="Times New Roman"/>
          <w:b/>
          <w:sz w:val="20"/>
          <w:szCs w:val="20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4528"/>
      </w:tblGrid>
      <w:tr>
        <w:tblPrEx/>
        <w:trPr>
          <w:trHeight w:val="454"/>
        </w:trPr>
        <w:tc>
          <w:tcPr>
            <w:tcW w:w="9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2"/>
                <w:szCs w:val="22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116840</wp:posOffset>
                      </wp:positionV>
                      <wp:extent cx="295275" cy="0"/>
                      <wp:effectExtent l="34290" t="30480" r="32384" b="36195"/>
                      <wp:wrapNone/>
                      <wp:docPr id="3" name="Auto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9527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" o:spid="_x0000_s2" o:spt="32" type="#_x0000_t32" style="position:absolute;z-index:251661312;o:allowoverlap:true;o:allowincell:true;mso-position-horizontal-relative:text;margin-left:10.50pt;mso-position-horizontal:absolute;mso-position-vertical-relative:text;margin-top:9.20pt;mso-position-vertical:absolute;width:23.25pt;height:0.00pt;mso-wrap-distance-left:9.00pt;mso-wrap-distance-top:0.00pt;mso-wrap-distance-right:9.00pt;mso-wrap-distance-bottom:0.00pt;visibility:visible;" filled="f" strokecolor="#FF0000" strokeweight="4.50pt"/>
                  </w:pict>
                </mc:Fallback>
              </mc:AlternateConten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5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граница территории объекта культурного наследия регионального значения «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Высота 171.0 (урочище Сийранмяки) – место прорыва финской оборонительной линии VT 14-16 июня 1944 года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План поворотных (характерных) точек границ </w:t>
      </w:r>
      <w:r>
        <w:rPr>
          <w:rFonts w:ascii="Times New Roman" w:hAnsi="Times New Roman"/>
          <w:b/>
          <w:bCs/>
          <w:sz w:val="27"/>
          <w:szCs w:val="27"/>
        </w:rPr>
        <w:t xml:space="preserve">территории объекта культурного наследия 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pStyle w:val="994"/>
        <w:contextualSpacing/>
        <w:ind w:left="0"/>
        <w:spacing w:line="276" w:lineRule="auto"/>
        <w:rPr>
          <w:lang w:val="ru-RU"/>
        </w:rPr>
      </w:pPr>
      <w:r>
        <w:rPr>
          <w:lang w:val="ru-RU"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502480" cy="5050215"/>
                <wp:effectExtent l="6350" t="6350" r="6350" b="6350"/>
                <wp:docPr id="4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624552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9502479" cy="50502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748.23pt;height:397.6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lang w:val="ru-RU"/>
        </w:rPr>
      </w:r>
      <w:r>
        <w:rPr>
          <w:lang w:val="ru-RU"/>
        </w:rPr>
      </w: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Условные обозначения:</w:t>
      </w:r>
      <w:r>
        <w:rPr>
          <w:rFonts w:ascii="Times New Roman" w:hAnsi="Times New Roman"/>
          <w:b/>
          <w:sz w:val="24"/>
          <w:szCs w:val="24"/>
          <w:lang w:val="en-US"/>
        </w:rPr>
      </w:r>
      <w:r>
        <w:rPr>
          <w:rFonts w:ascii="Times New Roman" w:hAnsi="Times New Roman"/>
          <w:b/>
          <w:sz w:val="24"/>
          <w:szCs w:val="24"/>
          <w:lang w:val="en-US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8612"/>
      </w:tblGrid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116840</wp:posOffset>
                      </wp:positionV>
                      <wp:extent cx="295275" cy="0"/>
                      <wp:effectExtent l="28575" t="31115" r="28575" b="35560"/>
                      <wp:wrapNone/>
                      <wp:docPr id="5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9527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" o:spid="_x0000_s4" o:spt="32" type="#_x0000_t32" style="position:absolute;z-index:251664384;o:allowoverlap:true;o:allowincell:true;mso-position-horizontal-relative:text;margin-left:10.50pt;mso-position-horizontal:absolute;mso-position-vertical-relative:text;margin-top:9.20pt;mso-position-vertical:absolute;width:23.25pt;height:0.00pt;mso-wrap-distance-left:9.00pt;mso-wrap-distance-top:0.00pt;mso-wrap-distance-right:9.00pt;mso-wrap-distance-bottom:0.00pt;visibility:visible;" filled="f" strokecolor="#FF0000" strokeweight="4.50pt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1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граница территории объекта культурного наследия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lang w:eastAsia="ru-RU"/>
              </w:rPr>
            </w:pPr>
            <w:r>
              <w:rPr>
                <w:rFonts w:ascii="Times New Roman" w:hAnsi="Times New Roman"/>
                <w:sz w:val="27"/>
                <w:szCs w:val="27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3050" cy="332740"/>
                      <wp:effectExtent l="0" t="0" r="0" b="0"/>
                      <wp:docPr id="6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1191559" name="Picture 2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rcRect l="0" t="25290" r="95798" b="700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3049" cy="3327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21.50pt;height:26.20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86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номер характерной точки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left"/>
        <w:rPr>
          <w:b/>
          <w:bCs/>
          <w:sz w:val="22"/>
          <w:szCs w:val="22"/>
        </w:rPr>
        <w:sectPr>
          <w:footnotePr/>
          <w:endnotePr/>
          <w:type w:val="nextPage"/>
          <w:pgSz w:w="16838" w:h="11906" w:orient="landscape"/>
          <w:pgMar w:top="1134" w:right="992" w:bottom="708" w:left="822" w:header="709" w:footer="709" w:gutter="0"/>
          <w:cols w:num="1" w:sep="0" w:space="708" w:equalWidth="1"/>
          <w:docGrid w:linePitch="360"/>
        </w:sectPr>
      </w:pPr>
      <w:r>
        <w:rPr>
          <w:b/>
          <w:sz w:val="22"/>
          <w:szCs w:val="7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rPr>
          <w:b/>
          <w:bCs/>
          <w:sz w:val="4"/>
          <w:szCs w:val="4"/>
          <w:highlight w:val="none"/>
        </w:rPr>
      </w:pPr>
      <w:r>
        <w:rPr>
          <w:b/>
          <w:sz w:val="22"/>
          <w:szCs w:val="72"/>
        </w:rPr>
      </w:r>
      <w:r>
        <w:rPr>
          <w:b/>
          <w:sz w:val="4"/>
        </w:rPr>
        <w:t xml:space="preserve"> </w:t>
      </w:r>
      <w:r>
        <w:rPr>
          <w:b/>
          <w:bCs/>
          <w:sz w:val="4"/>
          <w:szCs w:val="4"/>
          <w:highlight w:val="none"/>
        </w:rPr>
      </w:r>
      <w:r>
        <w:rPr>
          <w:b/>
          <w:bCs/>
          <w:sz w:val="4"/>
          <w:szCs w:val="4"/>
          <w:highlight w:val="none"/>
        </w:rPr>
      </w:r>
    </w:p>
    <w:p>
      <w:pPr>
        <w:contextualSpacing/>
        <w:jc w:val="center"/>
        <w:spacing w:after="0"/>
        <w:widowControl w:val="off"/>
        <w:rPr>
          <w:highlight w:val="none"/>
        </w:rPr>
      </w:pPr>
      <w:r>
        <w:rPr>
          <w:rFonts w:ascii="Times New Roman" w:hAnsi="Times New Roman" w:eastAsia="Times New Roman"/>
          <w:b/>
          <w:spacing w:val="-1"/>
          <w:sz w:val="27"/>
          <w:szCs w:val="27"/>
        </w:rPr>
        <w:t xml:space="preserve">Перечень координат поворотных (характерных) точек границ территории объекта культурного наследия в системе координат, установле</w:t>
      </w:r>
      <w:r>
        <w:rPr>
          <w:rFonts w:ascii="Times New Roman" w:hAnsi="Times New Roman" w:eastAsia="Times New Roman"/>
          <w:b/>
          <w:spacing w:val="-1"/>
          <w:sz w:val="27"/>
          <w:szCs w:val="27"/>
        </w:rPr>
        <w:t xml:space="preserve">нной для ведения государственного кадастра недвижимости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jc w:val="center"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highlight w:val="none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 w:firstRow="1" w:lastRow="1" w:firstColumn="1" w:lastColumn="1" w:noHBand="0" w:noVBand="0"/>
      </w:tblPr>
      <w:tblGrid>
        <w:gridCol w:w="1859"/>
        <w:gridCol w:w="3883"/>
        <w:gridCol w:w="3495"/>
      </w:tblGrid>
      <w:tr>
        <w:tblPrEx/>
        <w:trPr>
          <w:trHeight w:val="397"/>
        </w:trPr>
        <w:tc>
          <w:tcPr>
            <w:tcW w:w="185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  <w:t xml:space="preserve">Номер характерной точки</w:t>
            </w: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</w:p>
        </w:tc>
        <w:tc>
          <w:tcPr>
            <w:gridSpan w:val="2"/>
            <w:tcW w:w="7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  <w:t xml:space="preserve">Координаты характерных точек в системе координат, установленной для ведения государственного кадастра объектов недвижимости (м)</w:t>
            </w: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</w:p>
          <w:p>
            <w:pPr>
              <w:contextualSpacing/>
              <w:jc w:val="center"/>
              <w:spacing w:after="0"/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  <w:t xml:space="preserve">(МСК-47 зона 1)</w:t>
            </w: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  <w:t xml:space="preserve">Х</w:t>
            </w: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  <w:r>
              <w:rPr>
                <w:rFonts w:ascii="Times New Roman" w:hAnsi="Times New Roman" w:eastAsia="Times New Roman"/>
                <w:sz w:val="27"/>
                <w:szCs w:val="27"/>
                <w:lang w:eastAsia="ru-RU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 w:eastAsia="Times New Roman"/>
                <w:sz w:val="27"/>
                <w:szCs w:val="27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7"/>
                <w:szCs w:val="27"/>
                <w:lang w:val="en-US" w:eastAsia="ru-RU"/>
              </w:rPr>
              <w:t xml:space="preserve">Y</w:t>
            </w:r>
            <w:r>
              <w:rPr>
                <w:rFonts w:ascii="Times New Roman" w:hAnsi="Times New Roman" w:eastAsia="Times New Roman"/>
                <w:sz w:val="27"/>
                <w:szCs w:val="27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7"/>
                <w:szCs w:val="27"/>
                <w:lang w:val="en-US" w:eastAsia="ru-RU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488964.27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1357734.84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488966.77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1357773.84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488984.77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1357848.84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488974.27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1357896.84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488961.27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1357932.34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488929.27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1357986.64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488912.27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1358084.64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488916.27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1358149.64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488913.77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1358187.64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488904.27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1358209.14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488863.27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1358262.14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488834.27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1358322.64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488806.77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1358409.64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488804.77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1358459.14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488837.27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1358557.14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488868.27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1358544.14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488892.77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1358485.14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488917.27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1358439.14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488931.27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1358425.14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488942.27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1358418.64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488991.27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1358417.14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489005.77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1358426.64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489018.77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1358451.14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489018.04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1358525.24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489017.82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1358545.54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489011.42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1358595.54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488998.92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1358631.24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488965.72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1358643.84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488922.92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1358649.44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488863.52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1358651.44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488881.82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1358711.34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488899.82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1358712.74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488950.82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1358724.04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488999.02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1358767.64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489024.62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1358815.94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489025.05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1358896.62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488950.19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1358785.80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488928.88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1358778.75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488907.13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1358780.42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488869.62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1358772.34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488853.42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1358736.14</w:t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  <w:r>
              <w:rPr>
                <w:rFonts w:ascii="Times New Roman" w:hAnsi="Times New Roman"/>
                <w:sz w:val="27"/>
                <w:szCs w:val="27"/>
                <w:lang w:val="en-US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488754.62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1358659.64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488731.72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1358585.49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488726.54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1358546.25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488747.63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1358463.89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488761.34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1358393.24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488789.02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1358308.24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488824.62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1358239.64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488872.57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1358166.82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488874.42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1358143.34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488863.42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1358123.24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488860.92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1358049.14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488868.42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1358005.44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488880.92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1357961.44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488924.92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1357882.94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488928.92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1357862.94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488923.92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1357809.44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488911.92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1357766.94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1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488911.92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1357727.94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tcW w:w="1859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42"/>
              </w:numPr>
              <w:ind w:left="0" w:firstLine="0"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488964.27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  <w:tc>
          <w:tcPr>
            <w:tcW w:w="349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1357734.84</w:t>
            </w:r>
            <w:r>
              <w:rPr>
                <w:rFonts w:ascii="Times New Roman" w:hAnsi="Times New Roman"/>
                <w:sz w:val="27"/>
                <w:szCs w:val="27"/>
              </w:rPr>
            </w:r>
            <w:r>
              <w:rPr>
                <w:rFonts w:ascii="Times New Roman" w:hAnsi="Times New Roman"/>
                <w:sz w:val="27"/>
                <w:szCs w:val="27"/>
              </w:rPr>
            </w:r>
          </w:p>
        </w:tc>
      </w:tr>
    </w:tbl>
    <w:p>
      <w:pPr>
        <w:spacing w:after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</w:rPr>
        <w:t xml:space="preserve">Текстовое описание границ территории объекта культурного наследия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contextualSpacing/>
        <w:ind w:firstLine="708"/>
        <w:jc w:val="both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</w:rPr>
      </w:r>
      <w:r>
        <w:rPr>
          <w:rFonts w:ascii="Times New Roman" w:hAnsi="Times New Roman"/>
          <w:spacing w:val="-1"/>
          <w:sz w:val="27"/>
          <w:szCs w:val="27"/>
        </w:rPr>
        <w:t xml:space="preserve">Границы территории объекта культурного наследия </w:t>
      </w:r>
      <w:r>
        <w:rPr>
          <w:rFonts w:ascii="Times New Roman" w:hAnsi="Times New Roman"/>
          <w:spacing w:val="-1"/>
          <w:sz w:val="27"/>
          <w:szCs w:val="27"/>
        </w:rPr>
        <w:t xml:space="preserve">в границах зоны </w:t>
      </w:r>
      <w:r>
        <w:rPr>
          <w:rFonts w:ascii="Times New Roman" w:hAnsi="Times New Roman"/>
          <w:spacing w:val="-1"/>
          <w:sz w:val="27"/>
          <w:szCs w:val="27"/>
        </w:rPr>
        <w:t xml:space="preserve">пр</w:t>
      </w:r>
      <w:r>
        <w:rPr>
          <w:rFonts w:ascii="Times New Roman" w:hAnsi="Times New Roman"/>
          <w:spacing w:val="-1"/>
          <w:sz w:val="27"/>
          <w:szCs w:val="27"/>
        </w:rPr>
        <w:t xml:space="preserve">оходят от точки 1 до точки </w:t>
      </w:r>
      <w:r>
        <w:rPr>
          <w:rFonts w:ascii="Times New Roman" w:hAnsi="Times New Roman"/>
          <w:spacing w:val="-1"/>
          <w:sz w:val="27"/>
          <w:szCs w:val="27"/>
        </w:rPr>
        <w:t xml:space="preserve">15</w:t>
      </w:r>
      <w:r>
        <w:rPr>
          <w:rFonts w:ascii="Times New Roman" w:hAnsi="Times New Roman"/>
          <w:spacing w:val="-1"/>
          <w:sz w:val="27"/>
          <w:szCs w:val="27"/>
        </w:rPr>
        <w:t xml:space="preserve"> на восток</w:t>
      </w:r>
      <w:r>
        <w:rPr>
          <w:rFonts w:ascii="Times New Roman" w:hAnsi="Times New Roman"/>
          <w:spacing w:val="-1"/>
          <w:sz w:val="27"/>
          <w:szCs w:val="27"/>
        </w:rPr>
        <w:t xml:space="preserve"> вдоль проезда</w:t>
      </w:r>
      <w:r>
        <w:rPr>
          <w:rFonts w:ascii="Times New Roman" w:hAnsi="Times New Roman"/>
          <w:spacing w:val="-1"/>
          <w:sz w:val="27"/>
          <w:szCs w:val="27"/>
        </w:rPr>
        <w:t xml:space="preserve">, от точки </w:t>
      </w:r>
      <w:r>
        <w:rPr>
          <w:rFonts w:ascii="Times New Roman" w:hAnsi="Times New Roman"/>
          <w:spacing w:val="-1"/>
          <w:sz w:val="27"/>
          <w:szCs w:val="27"/>
        </w:rPr>
        <w:t xml:space="preserve">15</w:t>
      </w:r>
      <w:r>
        <w:rPr>
          <w:rFonts w:ascii="Times New Roman" w:hAnsi="Times New Roman"/>
          <w:spacing w:val="-1"/>
          <w:sz w:val="27"/>
          <w:szCs w:val="27"/>
        </w:rPr>
        <w:t xml:space="preserve"> до точки 30 на север</w:t>
      </w:r>
      <w:r>
        <w:rPr>
          <w:rFonts w:ascii="Times New Roman" w:hAnsi="Times New Roman"/>
          <w:spacing w:val="-1"/>
          <w:sz w:val="27"/>
          <w:szCs w:val="27"/>
        </w:rPr>
        <w:t xml:space="preserve">о-запад-север</w:t>
      </w:r>
      <w:r>
        <w:rPr>
          <w:rFonts w:ascii="Times New Roman" w:hAnsi="Times New Roman"/>
          <w:spacing w:val="-1"/>
          <w:sz w:val="27"/>
          <w:szCs w:val="27"/>
        </w:rPr>
        <w:t xml:space="preserve">-восток</w:t>
      </w:r>
      <w:r>
        <w:rPr>
          <w:rFonts w:ascii="Times New Roman" w:hAnsi="Times New Roman"/>
          <w:spacing w:val="-1"/>
          <w:sz w:val="27"/>
          <w:szCs w:val="27"/>
        </w:rPr>
        <w:t xml:space="preserve">-юг, огибая возвышенность</w:t>
      </w:r>
      <w:r>
        <w:rPr>
          <w:rFonts w:ascii="Times New Roman" w:hAnsi="Times New Roman"/>
          <w:spacing w:val="-1"/>
          <w:sz w:val="27"/>
          <w:szCs w:val="27"/>
        </w:rPr>
        <w:t xml:space="preserve">, от точки 30 до точки </w:t>
      </w:r>
      <w:r>
        <w:rPr>
          <w:rFonts w:ascii="Times New Roman" w:hAnsi="Times New Roman"/>
          <w:spacing w:val="-1"/>
          <w:sz w:val="27"/>
          <w:szCs w:val="27"/>
        </w:rPr>
        <w:t xml:space="preserve">31</w:t>
      </w:r>
      <w:r>
        <w:rPr>
          <w:rFonts w:ascii="Times New Roman" w:hAnsi="Times New Roman"/>
          <w:spacing w:val="-1"/>
          <w:sz w:val="27"/>
          <w:szCs w:val="27"/>
        </w:rPr>
        <w:t xml:space="preserve"> на восток, от точки </w:t>
      </w:r>
      <w:r>
        <w:rPr>
          <w:rFonts w:ascii="Times New Roman" w:hAnsi="Times New Roman"/>
          <w:spacing w:val="-1"/>
          <w:sz w:val="27"/>
          <w:szCs w:val="27"/>
        </w:rPr>
        <w:t xml:space="preserve">31</w:t>
      </w:r>
      <w:r>
        <w:rPr>
          <w:rFonts w:ascii="Times New Roman" w:hAnsi="Times New Roman"/>
          <w:spacing w:val="-1"/>
          <w:sz w:val="27"/>
          <w:szCs w:val="27"/>
        </w:rPr>
        <w:t xml:space="preserve"> до точки </w:t>
      </w:r>
      <w:r>
        <w:rPr>
          <w:rFonts w:ascii="Times New Roman" w:hAnsi="Times New Roman"/>
          <w:spacing w:val="-1"/>
          <w:sz w:val="27"/>
          <w:szCs w:val="27"/>
        </w:rPr>
        <w:t xml:space="preserve">35</w:t>
      </w:r>
      <w:r>
        <w:rPr>
          <w:rFonts w:ascii="Times New Roman" w:hAnsi="Times New Roman"/>
          <w:spacing w:val="-1"/>
          <w:sz w:val="27"/>
          <w:szCs w:val="27"/>
        </w:rPr>
        <w:t xml:space="preserve"> на </w:t>
      </w:r>
      <w:r>
        <w:rPr>
          <w:rFonts w:ascii="Times New Roman" w:hAnsi="Times New Roman"/>
          <w:spacing w:val="-1"/>
          <w:sz w:val="27"/>
          <w:szCs w:val="27"/>
        </w:rPr>
        <w:t xml:space="preserve">северо-восток</w:t>
      </w:r>
      <w:r>
        <w:rPr>
          <w:rFonts w:ascii="Times New Roman" w:hAnsi="Times New Roman"/>
          <w:spacing w:val="-1"/>
          <w:sz w:val="27"/>
          <w:szCs w:val="27"/>
        </w:rPr>
        <w:t xml:space="preserve">, от точки </w:t>
      </w:r>
      <w:r>
        <w:rPr>
          <w:rFonts w:ascii="Times New Roman" w:hAnsi="Times New Roman"/>
          <w:spacing w:val="-1"/>
          <w:sz w:val="27"/>
          <w:szCs w:val="27"/>
        </w:rPr>
        <w:t xml:space="preserve">35</w:t>
      </w:r>
      <w:r>
        <w:rPr>
          <w:rFonts w:ascii="Times New Roman" w:hAnsi="Times New Roman"/>
          <w:spacing w:val="-1"/>
          <w:sz w:val="27"/>
          <w:szCs w:val="27"/>
        </w:rPr>
        <w:t xml:space="preserve"> до точки </w:t>
      </w:r>
      <w:r>
        <w:rPr>
          <w:rFonts w:ascii="Times New Roman" w:hAnsi="Times New Roman"/>
          <w:spacing w:val="-1"/>
          <w:sz w:val="27"/>
          <w:szCs w:val="27"/>
        </w:rPr>
        <w:t xml:space="preserve">3</w:t>
      </w:r>
      <w:r>
        <w:rPr>
          <w:rFonts w:ascii="Times New Roman" w:hAnsi="Times New Roman"/>
          <w:spacing w:val="-1"/>
          <w:sz w:val="27"/>
          <w:szCs w:val="27"/>
        </w:rPr>
        <w:t xml:space="preserve">6 на </w:t>
      </w:r>
      <w:r>
        <w:rPr>
          <w:rFonts w:ascii="Times New Roman" w:hAnsi="Times New Roman"/>
          <w:spacing w:val="-1"/>
          <w:sz w:val="27"/>
          <w:szCs w:val="27"/>
        </w:rPr>
        <w:t xml:space="preserve">восток вдоль границы лесополосы</w:t>
      </w:r>
      <w:r>
        <w:rPr>
          <w:rFonts w:ascii="Times New Roman" w:hAnsi="Times New Roman"/>
          <w:spacing w:val="-1"/>
          <w:sz w:val="27"/>
          <w:szCs w:val="27"/>
        </w:rPr>
        <w:t xml:space="preserve">, от точки </w:t>
      </w:r>
      <w:r>
        <w:rPr>
          <w:rFonts w:ascii="Times New Roman" w:hAnsi="Times New Roman"/>
          <w:spacing w:val="-1"/>
          <w:sz w:val="27"/>
          <w:szCs w:val="27"/>
        </w:rPr>
        <w:t xml:space="preserve">3</w:t>
      </w:r>
      <w:r>
        <w:rPr>
          <w:rFonts w:ascii="Times New Roman" w:hAnsi="Times New Roman"/>
          <w:spacing w:val="-1"/>
          <w:sz w:val="27"/>
          <w:szCs w:val="27"/>
        </w:rPr>
        <w:t xml:space="preserve">6 до точки </w:t>
      </w:r>
      <w:r>
        <w:rPr>
          <w:rFonts w:ascii="Times New Roman" w:hAnsi="Times New Roman"/>
          <w:spacing w:val="-1"/>
          <w:sz w:val="27"/>
          <w:szCs w:val="27"/>
        </w:rPr>
        <w:t xml:space="preserve">44</w:t>
      </w:r>
      <w:r>
        <w:rPr>
          <w:rFonts w:ascii="Times New Roman" w:hAnsi="Times New Roman"/>
          <w:spacing w:val="-1"/>
          <w:sz w:val="27"/>
          <w:szCs w:val="27"/>
        </w:rPr>
        <w:t xml:space="preserve"> на юго-запад</w:t>
      </w:r>
      <w:r>
        <w:rPr>
          <w:rFonts w:ascii="Times New Roman" w:hAnsi="Times New Roman"/>
          <w:spacing w:val="-1"/>
          <w:sz w:val="27"/>
          <w:szCs w:val="27"/>
        </w:rPr>
        <w:t xml:space="preserve"> по границе земельных участков</w:t>
      </w:r>
      <w:r>
        <w:rPr>
          <w:rFonts w:ascii="Times New Roman" w:hAnsi="Times New Roman"/>
          <w:spacing w:val="-1"/>
          <w:sz w:val="27"/>
          <w:szCs w:val="27"/>
        </w:rPr>
        <w:t xml:space="preserve">, от точки </w:t>
      </w:r>
      <w:r>
        <w:rPr>
          <w:rFonts w:ascii="Times New Roman" w:hAnsi="Times New Roman"/>
          <w:spacing w:val="-1"/>
          <w:sz w:val="27"/>
          <w:szCs w:val="27"/>
        </w:rPr>
        <w:t xml:space="preserve">44</w:t>
      </w:r>
      <w:r>
        <w:rPr>
          <w:rFonts w:ascii="Times New Roman" w:hAnsi="Times New Roman"/>
          <w:spacing w:val="-1"/>
          <w:sz w:val="27"/>
          <w:szCs w:val="27"/>
        </w:rPr>
        <w:t xml:space="preserve"> до точки </w:t>
      </w:r>
      <w:r>
        <w:rPr>
          <w:rFonts w:ascii="Times New Roman" w:hAnsi="Times New Roman"/>
          <w:spacing w:val="-1"/>
          <w:sz w:val="27"/>
          <w:szCs w:val="27"/>
        </w:rPr>
        <w:t xml:space="preserve">59</w:t>
      </w:r>
      <w:r>
        <w:rPr>
          <w:rFonts w:ascii="Times New Roman" w:hAnsi="Times New Roman"/>
          <w:spacing w:val="-1"/>
          <w:sz w:val="27"/>
          <w:szCs w:val="27"/>
        </w:rPr>
        <w:t xml:space="preserve"> на </w:t>
      </w:r>
      <w:r>
        <w:rPr>
          <w:rFonts w:ascii="Times New Roman" w:hAnsi="Times New Roman"/>
          <w:spacing w:val="-1"/>
          <w:sz w:val="27"/>
          <w:szCs w:val="27"/>
        </w:rPr>
        <w:t xml:space="preserve">северо-запад-юго-запад-запад</w:t>
      </w:r>
      <w:r>
        <w:rPr>
          <w:rFonts w:ascii="Times New Roman" w:hAnsi="Times New Roman"/>
          <w:spacing w:val="-1"/>
          <w:sz w:val="27"/>
          <w:szCs w:val="27"/>
        </w:rPr>
        <w:t xml:space="preserve"> по границам земельных участков и линии лесополосы</w:t>
      </w:r>
      <w:r>
        <w:rPr>
          <w:rFonts w:ascii="Times New Roman" w:hAnsi="Times New Roman"/>
          <w:spacing w:val="-1"/>
          <w:sz w:val="27"/>
          <w:szCs w:val="27"/>
        </w:rPr>
        <w:t xml:space="preserve">, от точки </w:t>
      </w:r>
      <w:r>
        <w:rPr>
          <w:rFonts w:ascii="Times New Roman" w:hAnsi="Times New Roman"/>
          <w:spacing w:val="-1"/>
          <w:sz w:val="27"/>
          <w:szCs w:val="27"/>
        </w:rPr>
        <w:t xml:space="preserve">59</w:t>
      </w:r>
      <w:r>
        <w:rPr>
          <w:rFonts w:ascii="Times New Roman" w:hAnsi="Times New Roman"/>
          <w:spacing w:val="-1"/>
          <w:sz w:val="27"/>
          <w:szCs w:val="27"/>
        </w:rPr>
        <w:t xml:space="preserve"> до </w:t>
      </w:r>
      <w:r>
        <w:rPr>
          <w:rFonts w:ascii="Times New Roman" w:hAnsi="Times New Roman"/>
          <w:spacing w:val="-1"/>
          <w:sz w:val="27"/>
          <w:szCs w:val="27"/>
        </w:rPr>
        <w:t xml:space="preserve">исходной </w:t>
      </w:r>
      <w:r>
        <w:rPr>
          <w:rFonts w:ascii="Times New Roman" w:hAnsi="Times New Roman"/>
          <w:spacing w:val="-1"/>
          <w:sz w:val="27"/>
          <w:szCs w:val="27"/>
        </w:rPr>
        <w:t xml:space="preserve">точки 1 на север, где замыкаются.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ind w:left="0" w:right="283" w:firstLine="0"/>
        <w:jc w:val="both"/>
        <w:spacing w:before="47" w:line="276" w:lineRule="auto"/>
        <w:tabs>
          <w:tab w:val="left" w:pos="9638" w:leader="none"/>
        </w:tabs>
        <w:rPr>
          <w:sz w:val="27"/>
          <w:szCs w:val="27"/>
        </w:rPr>
      </w:pPr>
      <w:r>
        <w:rPr>
          <w:sz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contextualSpacing/>
        <w:jc w:val="lef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sz w:val="27"/>
        </w:rPr>
        <w:t xml:space="preserve">   </w:t>
      </w:r>
      <w:r>
        <w:rPr>
          <w:b/>
          <w:sz w:val="27"/>
        </w:rPr>
        <w:t xml:space="preserve">Режим использования территории </w:t>
      </w:r>
      <w:r>
        <w:rPr>
          <w:b/>
          <w:sz w:val="27"/>
        </w:rPr>
        <w:t xml:space="preserve">объекта культурного наследия </w:t>
      </w:r>
      <w:r>
        <w:rPr>
          <w:sz w:val="28"/>
          <w:szCs w:val="28"/>
        </w:rPr>
        <w:t xml:space="preserve"> </w:t>
      </w:r>
      <w:r>
        <w:rPr>
          <w:b/>
          <w:bCs/>
          <w:sz w:val="27"/>
          <w:szCs w:val="27"/>
        </w:rPr>
        <w:t xml:space="preserve">регионального</w:t>
      </w:r>
      <w:r>
        <w:rPr>
          <w:b/>
          <w:bCs/>
          <w:sz w:val="27"/>
          <w:szCs w:val="27"/>
        </w:rPr>
        <w:t xml:space="preserve"> значения </w:t>
      </w:r>
      <w:r>
        <w:rPr>
          <w:b/>
          <w:bCs/>
          <w:sz w:val="27"/>
          <w:szCs w:val="27"/>
        </w:rPr>
        <w:t xml:space="preserve">«</w:t>
      </w:r>
      <w:r>
        <w:rPr>
          <w:b/>
          <w:bCs/>
          <w:sz w:val="27"/>
          <w:szCs w:val="27"/>
        </w:rPr>
        <w:t xml:space="preserve">Высота 171.0 (урочище Сийранмяки) – место </w:t>
      </w:r>
      <w:r>
        <w:rPr>
          <w:b/>
          <w:bCs/>
          <w:sz w:val="27"/>
          <w:szCs w:val="27"/>
        </w:rPr>
        <w:t xml:space="preserve">прорыва финской оборонительной линии VT 14-16 июня 1944 года», </w:t>
      </w:r>
      <w:r>
        <w:rPr>
          <w:b/>
          <w:bCs/>
          <w:sz w:val="27"/>
          <w:szCs w:val="27"/>
        </w:rPr>
        <w:t xml:space="preserve">местонахождение (адрес)</w:t>
      </w:r>
      <w:r>
        <w:rPr>
          <w:b/>
          <w:bCs/>
          <w:sz w:val="27"/>
          <w:szCs w:val="27"/>
        </w:rPr>
        <w:t xml:space="preserve">: Ленинградская область, Выборгский район, </w:t>
      </w:r>
      <w:r>
        <w:rPr>
          <w:b/>
          <w:bCs/>
          <w:sz w:val="27"/>
          <w:szCs w:val="27"/>
        </w:rPr>
        <w:t xml:space="preserve">Первомайское сельское поселение, урочище Сийранмяки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 границах территории объекта культурного наследия </w:t>
      </w:r>
      <w:r>
        <w:rPr>
          <w:rFonts w:ascii="Times New Roman" w:hAnsi="Times New Roman"/>
          <w:sz w:val="27"/>
          <w:szCs w:val="27"/>
        </w:rPr>
        <w:t xml:space="preserve">регионального</w:t>
      </w:r>
      <w:r>
        <w:rPr>
          <w:rFonts w:ascii="Times New Roman" w:hAnsi="Times New Roman"/>
          <w:sz w:val="27"/>
          <w:szCs w:val="27"/>
        </w:rPr>
        <w:t xml:space="preserve"> значения </w:t>
      </w:r>
      <w:r>
        <w:rPr>
          <w:rFonts w:ascii="Times New Roman" w:hAnsi="Times New Roman"/>
          <w:sz w:val="27"/>
          <w:szCs w:val="27"/>
        </w:rPr>
        <w:t xml:space="preserve">«</w:t>
      </w:r>
      <w:r>
        <w:rPr>
          <w:rFonts w:ascii="Times New Roman" w:hAnsi="Times New Roman"/>
          <w:sz w:val="27"/>
          <w:szCs w:val="27"/>
        </w:rPr>
        <w:t xml:space="preserve">Высота 171.0 (урочище Сийранмяки) – место прорыва финской оборонительной линии VT 14-16 июня 1944 года</w:t>
      </w:r>
      <w:r>
        <w:rPr>
          <w:rFonts w:ascii="Times New Roman" w:hAnsi="Times New Roman"/>
          <w:sz w:val="27"/>
          <w:szCs w:val="27"/>
        </w:rPr>
        <w:t xml:space="preserve">», расположенного по адресу: </w:t>
      </w:r>
      <w:r>
        <w:rPr>
          <w:rFonts w:ascii="Times New Roman" w:hAnsi="Times New Roman"/>
          <w:sz w:val="27"/>
          <w:szCs w:val="27"/>
        </w:rPr>
        <w:t xml:space="preserve">Ленинградская область, Выборгский район, Первомайское сельское поселение, урочище </w:t>
      </w:r>
      <w:r>
        <w:rPr>
          <w:rFonts w:ascii="Times New Roman" w:hAnsi="Times New Roman"/>
          <w:sz w:val="27"/>
          <w:szCs w:val="27"/>
        </w:rPr>
        <w:t xml:space="preserve">Сийранмяки </w:t>
      </w:r>
      <w:r>
        <w:rPr>
          <w:rFonts w:ascii="Times New Roman" w:hAnsi="Times New Roman"/>
          <w:sz w:val="27"/>
          <w:szCs w:val="27"/>
        </w:rPr>
        <w:t xml:space="preserve">(далее – Достопримечательное место) выделен </w:t>
      </w:r>
      <w:r>
        <w:rPr>
          <w:rFonts w:ascii="Times New Roman" w:hAnsi="Times New Roman"/>
          <w:sz w:val="27"/>
          <w:szCs w:val="27"/>
        </w:rPr>
        <w:t xml:space="preserve">1</w:t>
      </w:r>
      <w:r>
        <w:rPr>
          <w:rFonts w:ascii="Times New Roman" w:hAnsi="Times New Roman"/>
          <w:sz w:val="27"/>
          <w:szCs w:val="27"/>
        </w:rPr>
        <w:t xml:space="preserve"> режим</w:t>
      </w:r>
      <w:r>
        <w:rPr>
          <w:rFonts w:ascii="Times New Roman" w:hAnsi="Times New Roman"/>
          <w:sz w:val="27"/>
          <w:szCs w:val="27"/>
        </w:rPr>
        <w:t xml:space="preserve"> использования территории </w:t>
      </w:r>
      <w:r>
        <w:rPr>
          <w:rFonts w:ascii="Times New Roman" w:hAnsi="Times New Roman"/>
          <w:sz w:val="27"/>
          <w:szCs w:val="27"/>
        </w:rPr>
        <w:t xml:space="preserve">Достопримечат</w:t>
      </w:r>
      <w:r>
        <w:rPr>
          <w:rFonts w:ascii="Times New Roman" w:hAnsi="Times New Roman"/>
          <w:sz w:val="27"/>
          <w:szCs w:val="27"/>
        </w:rPr>
        <w:t xml:space="preserve">ельного места (далее – Режим) в границах Зоны 1.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center"/>
        <w:spacing w:after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1. Режим использования </w:t>
      </w:r>
      <w:r>
        <w:rPr>
          <w:rFonts w:ascii="Times New Roman" w:hAnsi="Times New Roman"/>
          <w:b/>
          <w:sz w:val="27"/>
          <w:szCs w:val="27"/>
        </w:rPr>
        <w:t xml:space="preserve">территории объекта культурного наследия в границах Зоны 1:</w:t>
      </w: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p>
      <w:pPr>
        <w:ind w:right="28" w:firstLine="708"/>
        <w:jc w:val="both"/>
        <w:spacing w:after="0"/>
        <w:shd w:val="clear" w:color="auto" w:fill="ffffff"/>
        <w:rPr>
          <w:rFonts w:ascii="Times New Roman" w:hAnsi="Times New Roman" w:eastAsia="SimSun"/>
          <w:sz w:val="27"/>
          <w:szCs w:val="27"/>
          <w:lang w:eastAsia="zh-CN"/>
        </w:rPr>
      </w:pPr>
      <w:r>
        <w:rPr>
          <w:rFonts w:ascii="Times New Roman" w:hAnsi="Times New Roman" w:eastAsia="SimSun"/>
          <w:sz w:val="27"/>
          <w:szCs w:val="27"/>
          <w:lang w:eastAsia="zh-CN"/>
        </w:rPr>
        <w:t xml:space="preserve">К зоне 1 относится территория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на которой расположен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ы руины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 финск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ой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оборонительн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ой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 лини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и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 </w:t>
      </w:r>
      <w:r>
        <w:rPr>
          <w:rFonts w:ascii="Times New Roman" w:hAnsi="Times New Roman" w:eastAsia="SimSun"/>
          <w:sz w:val="27"/>
          <w:szCs w:val="27"/>
          <w:lang w:val="en-US" w:eastAsia="zh-CN"/>
        </w:rPr>
        <w:t xml:space="preserve">VT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(укрепузла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урочища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Сийранмяки): з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она ценного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фортификационного объекта с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 сохранившейся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объемной и планировочной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структурой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1940-х годов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: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противотанковые надолбы, траншеи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 и т.п.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; ц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енны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м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 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историческим и археологическим слоем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; природным ландшафтом (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именуем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ым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 </w:t>
        <w:br/>
        <w:t xml:space="preserve">в военной хронике – «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высота 171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.0»</w:t>
      </w:r>
      <w:r>
        <w:rPr>
          <w:rFonts w:ascii="Times New Roman" w:hAnsi="Times New Roman" w:eastAsia="SimSun"/>
          <w:sz w:val="27"/>
          <w:szCs w:val="27"/>
          <w:lang w:eastAsia="zh-CN"/>
        </w:rPr>
        <w:t xml:space="preserve">).</w:t>
      </w:r>
      <w:r>
        <w:rPr>
          <w:rFonts w:ascii="Times New Roman" w:hAnsi="Times New Roman" w:eastAsia="SimSun"/>
          <w:sz w:val="27"/>
          <w:szCs w:val="27"/>
          <w:lang w:eastAsia="zh-CN"/>
        </w:rPr>
      </w:r>
      <w:r>
        <w:rPr>
          <w:rFonts w:ascii="Times New Roman" w:hAnsi="Times New Roman" w:eastAsia="SimSun"/>
          <w:sz w:val="27"/>
          <w:szCs w:val="27"/>
          <w:lang w:eastAsia="zh-CN"/>
        </w:rPr>
      </w:r>
    </w:p>
    <w:p>
      <w:pPr>
        <w:ind w:firstLine="851"/>
        <w:jc w:val="both"/>
        <w:spacing w:after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1.1. </w:t>
      </w:r>
      <w:r>
        <w:rPr>
          <w:rFonts w:ascii="Times New Roman" w:hAnsi="Times New Roman"/>
          <w:b/>
          <w:sz w:val="27"/>
          <w:szCs w:val="27"/>
        </w:rPr>
        <w:t xml:space="preserve">Разрешается:</w:t>
      </w: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1.1.</w:t>
      </w:r>
      <w:r>
        <w:rPr>
          <w:rFonts w:ascii="Times New Roman" w:hAnsi="Times New Roman" w:eastAsia="Times New Roman"/>
          <w:sz w:val="27"/>
          <w:szCs w:val="27"/>
        </w:rPr>
        <w:t xml:space="preserve">1</w:t>
      </w:r>
      <w:r>
        <w:rPr>
          <w:rFonts w:ascii="Times New Roman" w:hAnsi="Times New Roman" w:eastAsia="Times New Roman"/>
          <w:sz w:val="27"/>
          <w:szCs w:val="27"/>
        </w:rPr>
        <w:t xml:space="preserve">. Сохранение и восстановление (регенерация) мемориаль</w:t>
      </w:r>
      <w:r>
        <w:rPr>
          <w:rFonts w:ascii="Times New Roman" w:hAnsi="Times New Roman" w:eastAsia="Times New Roman"/>
          <w:sz w:val="27"/>
          <w:szCs w:val="27"/>
        </w:rPr>
        <w:t xml:space="preserve">ной, историко-градостроительной и природной среды объекта культурного наследия (восстановление, воссоздание, восполнение частично или полностью утраченных элементов и характеристик историко-градостроительной и природной среды территории) и его компонентов.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1.1.2. </w:t>
      </w:r>
      <w:r>
        <w:rPr>
          <w:rFonts w:ascii="Times New Roman" w:hAnsi="Times New Roman" w:eastAsia="Times New Roman"/>
          <w:sz w:val="27"/>
          <w:szCs w:val="27"/>
        </w:rPr>
        <w:t xml:space="preserve">Сохранение </w:t>
      </w:r>
      <w:r>
        <w:rPr>
          <w:rFonts w:ascii="Times New Roman" w:hAnsi="Times New Roman" w:eastAsia="Times New Roman"/>
          <w:sz w:val="27"/>
          <w:szCs w:val="27"/>
        </w:rPr>
        <w:t xml:space="preserve">и восстановление (регенерация) </w:t>
      </w:r>
      <w:r>
        <w:rPr>
          <w:rFonts w:ascii="Times New Roman" w:hAnsi="Times New Roman" w:eastAsia="Times New Roman"/>
          <w:sz w:val="27"/>
          <w:szCs w:val="27"/>
        </w:rPr>
        <w:t xml:space="preserve">исторических элементов планировочной структуры территории.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1.1.</w:t>
      </w:r>
      <w:r>
        <w:rPr>
          <w:rFonts w:ascii="Times New Roman" w:hAnsi="Times New Roman" w:eastAsia="Times New Roman"/>
          <w:sz w:val="27"/>
          <w:szCs w:val="27"/>
        </w:rPr>
        <w:t xml:space="preserve">3</w:t>
      </w:r>
      <w:r>
        <w:rPr>
          <w:rFonts w:ascii="Times New Roman" w:hAnsi="Times New Roman" w:eastAsia="Times New Roman"/>
          <w:sz w:val="27"/>
          <w:szCs w:val="27"/>
        </w:rPr>
        <w:t xml:space="preserve">. Сохранение </w:t>
      </w:r>
      <w:r>
        <w:rPr>
          <w:rFonts w:ascii="Times New Roman" w:hAnsi="Times New Roman" w:eastAsia="Times New Roman"/>
          <w:sz w:val="27"/>
          <w:szCs w:val="27"/>
        </w:rPr>
        <w:t xml:space="preserve">и восстановление (регенерация) </w:t>
      </w:r>
      <w:r>
        <w:rPr>
          <w:rFonts w:ascii="Times New Roman" w:hAnsi="Times New Roman" w:eastAsia="Times New Roman"/>
          <w:sz w:val="27"/>
          <w:szCs w:val="27"/>
        </w:rPr>
        <w:t xml:space="preserve">исторических элементов ландшафта.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1.1.</w:t>
      </w:r>
      <w:r>
        <w:rPr>
          <w:rFonts w:ascii="Times New Roman" w:hAnsi="Times New Roman" w:eastAsia="Times New Roman"/>
          <w:sz w:val="27"/>
          <w:szCs w:val="27"/>
        </w:rPr>
        <w:t xml:space="preserve">4</w:t>
      </w:r>
      <w:r>
        <w:rPr>
          <w:rFonts w:ascii="Times New Roman" w:hAnsi="Times New Roman" w:eastAsia="Times New Roman"/>
          <w:sz w:val="27"/>
          <w:szCs w:val="27"/>
        </w:rPr>
        <w:t xml:space="preserve">. </w:t>
      </w:r>
      <w:r>
        <w:rPr>
          <w:rFonts w:ascii="Times New Roman" w:hAnsi="Times New Roman"/>
          <w:sz w:val="27"/>
          <w:szCs w:val="27"/>
        </w:rPr>
        <w:t xml:space="preserve">Проведение работ по сохранению особенностей объекта культур</w:t>
      </w:r>
      <w:r>
        <w:rPr>
          <w:rFonts w:ascii="Times New Roman" w:hAnsi="Times New Roman"/>
          <w:sz w:val="27"/>
          <w:szCs w:val="27"/>
        </w:rPr>
        <w:t xml:space="preserve">ного наследия, послуживших основанием для его включения в единый государственный реестр объектов культурного наследия (памятников истории и культуры) народов Российской Федерации, включая реставрацию, ремонт и приспособление для современного использования.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1.1.5. </w:t>
      </w:r>
      <w:r>
        <w:rPr>
          <w:rFonts w:ascii="Times New Roman" w:hAnsi="Times New Roman"/>
          <w:sz w:val="27"/>
          <w:szCs w:val="27"/>
        </w:rPr>
        <w:t xml:space="preserve">Ремонт малых форм, расположенных на территории объекта, </w:t>
        <w:br/>
        <w:t xml:space="preserve">не обладающих признаками объектов культурного наследия.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1.1.</w:t>
      </w:r>
      <w:r>
        <w:rPr>
          <w:rFonts w:ascii="Times New Roman" w:hAnsi="Times New Roman"/>
          <w:sz w:val="27"/>
          <w:szCs w:val="27"/>
        </w:rPr>
        <w:t xml:space="preserve">6</w:t>
      </w:r>
      <w:r>
        <w:rPr>
          <w:rFonts w:ascii="Times New Roman" w:hAnsi="Times New Roman"/>
          <w:sz w:val="27"/>
          <w:szCs w:val="27"/>
        </w:rPr>
        <w:t xml:space="preserve">.</w:t>
      </w:r>
      <w:r>
        <w:rPr>
          <w:rFonts w:ascii="Times New Roman" w:hAnsi="Times New Roman"/>
          <w:sz w:val="27"/>
          <w:szCs w:val="27"/>
        </w:rPr>
        <w:t xml:space="preserve"> </w:t>
      </w:r>
      <w:r>
        <w:rPr>
          <w:rFonts w:ascii="Times New Roman" w:hAnsi="Times New Roman" w:eastAsia="Times New Roman"/>
          <w:sz w:val="27"/>
          <w:szCs w:val="27"/>
        </w:rPr>
        <w:t xml:space="preserve">Ведение хозяйственной деятельности, не противоречащей требованиям обеспечения сохранности объекта культурного наследия и </w:t>
      </w:r>
      <w:r>
        <w:rPr>
          <w:rFonts w:ascii="Times New Roman" w:hAnsi="Times New Roman" w:eastAsia="Times New Roman"/>
          <w:sz w:val="27"/>
          <w:szCs w:val="27"/>
        </w:rPr>
        <w:t xml:space="preserve">позволяющей обеспечить функционирование объекта культурного наследия в современных условиях.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1.1.</w:t>
      </w:r>
      <w:r>
        <w:rPr>
          <w:rFonts w:ascii="Times New Roman" w:hAnsi="Times New Roman" w:eastAsia="Times New Roman"/>
          <w:sz w:val="27"/>
          <w:szCs w:val="27"/>
        </w:rPr>
        <w:t xml:space="preserve">7</w:t>
      </w:r>
      <w:r>
        <w:rPr>
          <w:rFonts w:ascii="Times New Roman" w:hAnsi="Times New Roman" w:eastAsia="Times New Roman"/>
          <w:sz w:val="27"/>
          <w:szCs w:val="27"/>
        </w:rPr>
        <w:t xml:space="preserve">. Реконструкция, ремонт инженерных коммуникаций, благоустро</w:t>
      </w:r>
      <w:r>
        <w:rPr>
          <w:rFonts w:ascii="Times New Roman" w:hAnsi="Times New Roman" w:eastAsia="Times New Roman"/>
          <w:sz w:val="27"/>
          <w:szCs w:val="27"/>
        </w:rPr>
        <w:t xml:space="preserve">йство, озеленение, установка малых архитектурных форм, иная хозяйственная деятельность (по согласованию с региональным органом охраны объектов культурного наследия), не противоречащая требованиям обеспечения сохранности объекта культурного наследия и позво</w:t>
      </w:r>
      <w:r>
        <w:rPr>
          <w:rFonts w:ascii="Times New Roman" w:hAnsi="Times New Roman" w:eastAsia="Times New Roman"/>
          <w:sz w:val="27"/>
          <w:szCs w:val="27"/>
        </w:rPr>
        <w:t xml:space="preserve">ляющая обеспечить функционирование объекта культурного наследия в современных условиях, обеспечивающая недопущение ухудшения состояния территории объекта культурного наследия. Применение при благоустройстве и оборудовании территории традиционных материалов</w:t>
      </w:r>
      <w:r>
        <w:rPr>
          <w:rFonts w:ascii="Times New Roman" w:hAnsi="Times New Roman" w:eastAsia="Times New Roman"/>
          <w:sz w:val="27"/>
          <w:szCs w:val="27"/>
        </w:rPr>
        <w:t xml:space="preserve"> (</w:t>
      </w:r>
      <w:r>
        <w:rPr>
          <w:rFonts w:ascii="Times New Roman" w:hAnsi="Times New Roman" w:eastAsia="Times New Roman"/>
          <w:sz w:val="27"/>
          <w:szCs w:val="27"/>
        </w:rPr>
        <w:t xml:space="preserve">дерево, камень</w:t>
      </w:r>
      <w:r>
        <w:rPr>
          <w:rFonts w:ascii="Times New Roman" w:hAnsi="Times New Roman" w:eastAsia="Times New Roman"/>
          <w:sz w:val="27"/>
          <w:szCs w:val="27"/>
        </w:rPr>
        <w:t xml:space="preserve">, металл</w:t>
      </w:r>
      <w:r>
        <w:rPr>
          <w:rFonts w:ascii="Times New Roman" w:hAnsi="Times New Roman" w:eastAsia="Times New Roman"/>
          <w:sz w:val="27"/>
          <w:szCs w:val="27"/>
        </w:rPr>
        <w:t xml:space="preserve">), исключая контрастные сочетания и яркую цветовую гамму.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1.1.8. </w:t>
      </w:r>
      <w:r>
        <w:rPr>
          <w:rFonts w:ascii="Times New Roman" w:hAnsi="Times New Roman"/>
          <w:sz w:val="27"/>
          <w:szCs w:val="27"/>
        </w:rPr>
        <w:t xml:space="preserve">Ремонт проезжей части дорог с учетом обеспеч</w:t>
      </w:r>
      <w:r>
        <w:rPr>
          <w:rFonts w:ascii="Times New Roman" w:hAnsi="Times New Roman"/>
          <w:sz w:val="27"/>
          <w:szCs w:val="27"/>
        </w:rPr>
        <w:t xml:space="preserve">ения</w:t>
      </w:r>
      <w:r>
        <w:rPr>
          <w:rFonts w:ascii="Times New Roman" w:hAnsi="Times New Roman" w:eastAsia="Times New Roman"/>
          <w:sz w:val="27"/>
          <w:szCs w:val="27"/>
        </w:rPr>
        <w:t xml:space="preserve"> сохранност</w:t>
      </w:r>
      <w:r>
        <w:rPr>
          <w:rFonts w:ascii="Times New Roman" w:hAnsi="Times New Roman" w:eastAsia="Times New Roman"/>
          <w:sz w:val="27"/>
          <w:szCs w:val="27"/>
        </w:rPr>
        <w:t xml:space="preserve">и</w:t>
      </w:r>
      <w:r>
        <w:rPr>
          <w:rFonts w:ascii="Times New Roman" w:hAnsi="Times New Roman" w:eastAsia="Times New Roman"/>
          <w:sz w:val="27"/>
          <w:szCs w:val="27"/>
        </w:rPr>
        <w:t xml:space="preserve"> объекта культурного наследия и позволяющая обеспечить функционирование объекта культурного </w:t>
      </w:r>
      <w:r>
        <w:rPr>
          <w:rFonts w:ascii="Times New Roman" w:hAnsi="Times New Roman" w:eastAsia="Times New Roman"/>
          <w:sz w:val="27"/>
          <w:szCs w:val="27"/>
        </w:rPr>
        <w:t xml:space="preserve">н</w:t>
      </w:r>
      <w:r>
        <w:rPr>
          <w:rFonts w:ascii="Times New Roman" w:hAnsi="Times New Roman" w:eastAsia="Times New Roman"/>
          <w:sz w:val="27"/>
          <w:szCs w:val="27"/>
        </w:rPr>
        <w:t xml:space="preserve">аследия в современных условиях</w:t>
      </w:r>
      <w:r>
        <w:rPr>
          <w:rFonts w:ascii="Times New Roman" w:hAnsi="Times New Roman" w:eastAsia="Times New Roman"/>
          <w:sz w:val="27"/>
          <w:szCs w:val="27"/>
        </w:rPr>
        <w:t xml:space="preserve">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1.1.9. </w:t>
      </w:r>
      <w:r>
        <w:rPr>
          <w:rFonts w:ascii="Times New Roman" w:hAnsi="Times New Roman"/>
          <w:sz w:val="27"/>
          <w:szCs w:val="27"/>
        </w:rPr>
        <w:t xml:space="preserve">Использование территории в качестве зоны отдыха и природно-познавательного туризма.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1.1.10. </w:t>
      </w:r>
      <w:r>
        <w:rPr>
          <w:rFonts w:ascii="Times New Roman" w:hAnsi="Times New Roman"/>
          <w:sz w:val="27"/>
          <w:szCs w:val="27"/>
        </w:rPr>
        <w:t xml:space="preserve">Установка информационных указателей, стендов с обозначением </w:t>
        <w:br/>
        <w:t xml:space="preserve">и описанием объекта природного и культурного наследия.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1.1.11. </w:t>
      </w:r>
      <w:r>
        <w:rPr>
          <w:rFonts w:ascii="Times New Roman" w:hAnsi="Times New Roman"/>
          <w:sz w:val="27"/>
          <w:szCs w:val="27"/>
        </w:rPr>
        <w:t xml:space="preserve">Устройство туристско-экологических троп.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1.1.12. </w:t>
      </w:r>
      <w:r>
        <w:rPr>
          <w:rFonts w:ascii="Times New Roman" w:hAnsi="Times New Roman"/>
          <w:sz w:val="27"/>
          <w:szCs w:val="27"/>
        </w:rPr>
        <w:t xml:space="preserve">Размещение временных зданий, строений и сооружений, в том числе временных сооружений на период проведения культурно-массовых мероприятий.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1.1.13. </w:t>
      </w:r>
      <w:r>
        <w:rPr>
          <w:rFonts w:ascii="Times New Roman" w:hAnsi="Times New Roman"/>
          <w:sz w:val="27"/>
          <w:szCs w:val="27"/>
        </w:rPr>
        <w:t xml:space="preserve">Осуществление научно-исследовательской, рекреационной </w:t>
        <w:br/>
        <w:t xml:space="preserve">и туристическо- экскурсионной деятельности.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1.1.14. </w:t>
      </w:r>
      <w:r>
        <w:rPr>
          <w:rFonts w:ascii="Times New Roman" w:hAnsi="Times New Roman"/>
          <w:sz w:val="27"/>
          <w:szCs w:val="27"/>
        </w:rPr>
        <w:t xml:space="preserve">Проведение санитарных рубок ухода за древесно-кустарниковой растительностью; посадка древесно-кустарниковой растительности.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1.1.15. </w:t>
      </w:r>
      <w:r>
        <w:rPr>
          <w:rFonts w:ascii="Times New Roman" w:hAnsi="Times New Roman"/>
          <w:sz w:val="27"/>
          <w:szCs w:val="27"/>
        </w:rPr>
        <w:t xml:space="preserve">Снос диссонирующих зданий и сооружений или минимизация диссонирующего эффекта.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1.2. Запрещается:</w:t>
      </w: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1.2.1. Строительство объектов капитального строительства на территории объекта культурного значения объектов капитального строительства</w:t>
      </w:r>
      <w:r>
        <w:rPr>
          <w:rFonts w:ascii="Times New Roman" w:hAnsi="Times New Roman" w:eastAsia="Times New Roman"/>
          <w:sz w:val="27"/>
          <w:szCs w:val="27"/>
        </w:rPr>
        <w:t xml:space="preserve">, </w:t>
        <w:br/>
        <w:t xml:space="preserve">за исключением временных зданий и сооружений, указанных в разделе 1.1</w:t>
      </w:r>
      <w:r>
        <w:rPr>
          <w:rFonts w:ascii="Times New Roman" w:hAnsi="Times New Roman" w:eastAsia="Times New Roman"/>
          <w:sz w:val="27"/>
          <w:szCs w:val="27"/>
        </w:rPr>
        <w:t xml:space="preserve">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1.2.</w:t>
      </w:r>
      <w:r>
        <w:rPr>
          <w:rFonts w:ascii="Times New Roman" w:hAnsi="Times New Roman" w:eastAsia="Times New Roman"/>
          <w:sz w:val="27"/>
          <w:szCs w:val="27"/>
        </w:rPr>
        <w:t xml:space="preserve">2</w:t>
      </w:r>
      <w:r>
        <w:rPr>
          <w:rFonts w:ascii="Times New Roman" w:hAnsi="Times New Roman" w:eastAsia="Times New Roman"/>
          <w:sz w:val="27"/>
          <w:szCs w:val="27"/>
        </w:rPr>
        <w:t xml:space="preserve">. Прокладка наземных и воздушных инженерных коммуникаций </w:t>
      </w:r>
      <w:r>
        <w:rPr>
          <w:rFonts w:ascii="Times New Roman" w:hAnsi="Times New Roman" w:eastAsia="Times New Roman"/>
          <w:sz w:val="27"/>
          <w:szCs w:val="27"/>
        </w:rPr>
        <w:t xml:space="preserve">над конструктивными и архитектурными элементами объекта культурного наследия, отнесенных к предмету охраны объекта культурного наследия, </w:t>
      </w:r>
      <w:r>
        <w:rPr>
          <w:rFonts w:ascii="Times New Roman" w:hAnsi="Times New Roman" w:eastAsia="Times New Roman"/>
          <w:sz w:val="27"/>
          <w:szCs w:val="27"/>
        </w:rPr>
        <w:t xml:space="preserve">кроме временных, необходимых для проведения работ по сохранению.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1.2.</w:t>
      </w:r>
      <w:r>
        <w:rPr>
          <w:rFonts w:ascii="Times New Roman" w:hAnsi="Times New Roman" w:eastAsia="Times New Roman"/>
          <w:sz w:val="27"/>
          <w:szCs w:val="27"/>
        </w:rPr>
        <w:t xml:space="preserve">3</w:t>
      </w:r>
      <w:r>
        <w:rPr>
          <w:rFonts w:ascii="Times New Roman" w:hAnsi="Times New Roman" w:eastAsia="Times New Roman"/>
          <w:sz w:val="27"/>
          <w:szCs w:val="27"/>
        </w:rPr>
        <w:t xml:space="preserve">. Проведение земляных, строительных, мелиоративных и иных работ, </w:t>
        <w:br/>
        <w:t xml:space="preserve">за исключением работ по сохранению (воссозданию) объекта культурного </w:t>
      </w:r>
      <w:r>
        <w:rPr>
          <w:rFonts w:ascii="Times New Roman" w:hAnsi="Times New Roman" w:eastAsia="Times New Roman"/>
          <w:sz w:val="27"/>
          <w:szCs w:val="27"/>
        </w:rPr>
        <w:t xml:space="preserve">наследия или его отдельных элементов, сохранению историко-градостроительной или природной среды объекта культурного наследия.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1.2.</w:t>
      </w:r>
      <w:r>
        <w:rPr>
          <w:rFonts w:ascii="Times New Roman" w:hAnsi="Times New Roman" w:eastAsia="Times New Roman"/>
          <w:sz w:val="27"/>
          <w:szCs w:val="27"/>
        </w:rPr>
        <w:t xml:space="preserve">4</w:t>
      </w:r>
      <w:r>
        <w:rPr>
          <w:rFonts w:ascii="Times New Roman" w:hAnsi="Times New Roman" w:eastAsia="Times New Roman"/>
          <w:sz w:val="27"/>
          <w:szCs w:val="27"/>
        </w:rPr>
        <w:t xml:space="preserve">. Осуществление любых видов деятельности, у</w:t>
      </w:r>
      <w:r>
        <w:rPr>
          <w:rFonts w:ascii="Times New Roman" w:hAnsi="Times New Roman" w:eastAsia="Times New Roman"/>
          <w:sz w:val="27"/>
          <w:szCs w:val="27"/>
        </w:rPr>
        <w:t xml:space="preserve">худшающих экологические условия, гидрологический режим и почвенный состав на территории объекта культурного наследия, в том числе создающих вибрационные нагрузки динамическим воздействием на грунты в зоне их взаимодействия с объектом культурного наследия. 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1.2.5. </w:t>
      </w:r>
      <w:r>
        <w:rPr>
          <w:rFonts w:ascii="Times New Roman" w:hAnsi="Times New Roman"/>
          <w:sz w:val="27"/>
          <w:szCs w:val="27"/>
        </w:rPr>
        <w:t xml:space="preserve">Изменение ландшафта, в том числе: нарушение рельефа </w:t>
        <w:br/>
        <w:t xml:space="preserve">(в т.ч. устройство насыпей </w:t>
      </w:r>
      <w:r>
        <w:rPr>
          <w:rFonts w:ascii="Times New Roman" w:hAnsi="Times New Roman"/>
          <w:sz w:val="27"/>
          <w:szCs w:val="27"/>
        </w:rPr>
        <w:t xml:space="preserve">или выемок)</w:t>
      </w:r>
      <w:r>
        <w:rPr>
          <w:rFonts w:ascii="Times New Roman" w:hAnsi="Times New Roman"/>
          <w:sz w:val="27"/>
          <w:szCs w:val="27"/>
        </w:rPr>
        <w:t xml:space="preserve">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1.2.6. </w:t>
      </w:r>
      <w:r>
        <w:rPr>
          <w:rFonts w:ascii="Times New Roman" w:hAnsi="Times New Roman"/>
          <w:sz w:val="27"/>
          <w:szCs w:val="27"/>
        </w:rPr>
        <w:t xml:space="preserve">Проведение гидрологических мероприятий без исследований и проекта, подлежащего согласованию в государственных органах охраны объектов культурного наследия.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1.2.7. </w:t>
      </w:r>
      <w:r>
        <w:rPr>
          <w:rFonts w:ascii="Times New Roman" w:hAnsi="Times New Roman"/>
          <w:sz w:val="27"/>
          <w:szCs w:val="27"/>
        </w:rPr>
        <w:t xml:space="preserve">Вырубка ценных старовозрастных и средневозрастных деревьев, ландшафтообразующей и средообразующей растительности, за исключением санитарных рубок.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1.2.8.</w:t>
      </w:r>
      <w:r>
        <w:rPr>
          <w:rFonts w:ascii="Times New Roman" w:hAnsi="Times New Roman" w:eastAsia="Times New Roman"/>
          <w:sz w:val="27"/>
          <w:szCs w:val="27"/>
        </w:rPr>
        <w:t xml:space="preserve"> Устройство автостоянок.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1.2.</w:t>
      </w:r>
      <w:r>
        <w:rPr>
          <w:rFonts w:ascii="Times New Roman" w:hAnsi="Times New Roman" w:eastAsia="Times New Roman"/>
          <w:sz w:val="27"/>
          <w:szCs w:val="27"/>
        </w:rPr>
        <w:t xml:space="preserve">9</w:t>
      </w:r>
      <w:r>
        <w:rPr>
          <w:rFonts w:ascii="Times New Roman" w:hAnsi="Times New Roman" w:eastAsia="Times New Roman"/>
          <w:sz w:val="27"/>
          <w:szCs w:val="27"/>
        </w:rPr>
        <w:t xml:space="preserve">. Складирование мусора (устройства свалок).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1.2.</w:t>
      </w:r>
      <w:r>
        <w:rPr>
          <w:rFonts w:ascii="Times New Roman" w:hAnsi="Times New Roman" w:eastAsia="Times New Roman"/>
          <w:sz w:val="27"/>
          <w:szCs w:val="27"/>
        </w:rPr>
        <w:t xml:space="preserve">10</w:t>
      </w:r>
      <w:r>
        <w:rPr>
          <w:rFonts w:ascii="Times New Roman" w:hAnsi="Times New Roman" w:eastAsia="Times New Roman"/>
          <w:sz w:val="27"/>
          <w:szCs w:val="27"/>
        </w:rPr>
        <w:t xml:space="preserve">. Размещение </w:t>
      </w:r>
      <w:r>
        <w:rPr>
          <w:rFonts w:ascii="Times New Roman" w:hAnsi="Times New Roman" w:eastAsia="Times New Roman"/>
          <w:sz w:val="27"/>
          <w:szCs w:val="27"/>
        </w:rPr>
        <w:t xml:space="preserve">ограждения территории, </w:t>
      </w:r>
      <w:r>
        <w:rPr>
          <w:rFonts w:ascii="Times New Roman" w:hAnsi="Times New Roman" w:eastAsia="Times New Roman"/>
          <w:sz w:val="27"/>
          <w:szCs w:val="27"/>
        </w:rPr>
        <w:t xml:space="preserve">наружной рекламы.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ind w:firstLine="851"/>
        <w:jc w:val="both"/>
        <w:spacing w:after="0"/>
        <w:rPr>
          <w:rFonts w:ascii="Times New Roman" w:hAnsi="Times New Roman" w:eastAsia="Times New Roman"/>
          <w:sz w:val="27"/>
          <w:szCs w:val="27"/>
        </w:rPr>
      </w:pPr>
      <w:r>
        <w:rPr>
          <w:rFonts w:ascii="Times New Roman" w:hAnsi="Times New Roman" w:eastAsia="Times New Roman"/>
          <w:sz w:val="27"/>
          <w:szCs w:val="27"/>
        </w:rPr>
        <w:t xml:space="preserve">1.2.</w:t>
      </w:r>
      <w:r>
        <w:rPr>
          <w:rFonts w:ascii="Times New Roman" w:hAnsi="Times New Roman" w:eastAsia="Times New Roman"/>
          <w:sz w:val="27"/>
          <w:szCs w:val="27"/>
        </w:rPr>
        <w:t xml:space="preserve">11</w:t>
      </w:r>
      <w:r>
        <w:rPr>
          <w:rFonts w:ascii="Times New Roman" w:hAnsi="Times New Roman" w:eastAsia="Times New Roman"/>
          <w:sz w:val="27"/>
          <w:szCs w:val="27"/>
        </w:rPr>
        <w:t xml:space="preserve">. Использование пиротехнических средств и фейерверков.</w:t>
      </w:r>
      <w:r>
        <w:rPr>
          <w:rFonts w:ascii="Times New Roman" w:hAnsi="Times New Roman" w:eastAsia="Times New Roman"/>
          <w:sz w:val="27"/>
          <w:szCs w:val="27"/>
        </w:rPr>
      </w:r>
      <w:r>
        <w:rPr>
          <w:rFonts w:ascii="Times New Roman" w:hAnsi="Times New Roman" w:eastAsia="Times New Roman"/>
          <w:sz w:val="27"/>
          <w:szCs w:val="27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6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2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6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риказу комитета по сохранению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6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культурного наследия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Ленинградской области</w:t>
      </w:r>
      <w:r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6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т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__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___________ 20</w:t>
      </w:r>
      <w:r>
        <w:rPr>
          <w:sz w:val="26"/>
          <w:szCs w:val="26"/>
        </w:rPr>
        <w:t xml:space="preserve">26 года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№___________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</w:rPr>
        <w:t xml:space="preserve">Предмет охраны </w:t>
      </w:r>
      <w:r>
        <w:rPr>
          <w:rFonts w:ascii="Times New Roman" w:hAnsi="Times New Roman"/>
          <w:b/>
          <w:bCs/>
          <w:sz w:val="27"/>
          <w:szCs w:val="27"/>
        </w:rPr>
        <w:t xml:space="preserve">объекта культурного наследия </w:t>
      </w:r>
      <w:r>
        <w:rPr>
          <w:b/>
          <w:bCs/>
          <w:sz w:val="27"/>
          <w:szCs w:val="27"/>
        </w:rPr>
        <w:t xml:space="preserve">регионального</w:t>
      </w:r>
      <w:r>
        <w:rPr>
          <w:b/>
          <w:bCs/>
          <w:sz w:val="27"/>
          <w:szCs w:val="27"/>
        </w:rPr>
        <w:t xml:space="preserve"> значения </w:t>
      </w:r>
      <w:r>
        <w:rPr>
          <w:b/>
          <w:bCs/>
          <w:sz w:val="27"/>
          <w:szCs w:val="27"/>
        </w:rPr>
        <w:t xml:space="preserve">«</w:t>
      </w:r>
      <w:r>
        <w:rPr>
          <w:b/>
          <w:bCs/>
          <w:sz w:val="27"/>
          <w:szCs w:val="27"/>
        </w:rPr>
        <w:t xml:space="preserve">Высота 171.0 (урочище Сийранмяки) – место </w:t>
      </w:r>
      <w:r>
        <w:rPr>
          <w:b/>
          <w:bCs/>
          <w:sz w:val="27"/>
          <w:szCs w:val="27"/>
        </w:rPr>
        <w:t xml:space="preserve">прорыва финской оборонительной линии VT 14-16 июня 1944 года», </w:t>
      </w:r>
      <w:r>
        <w:rPr>
          <w:b/>
          <w:bCs/>
          <w:sz w:val="27"/>
          <w:szCs w:val="27"/>
        </w:rPr>
        <w:t xml:space="preserve">местонахождение (адрес)</w:t>
      </w:r>
      <w:r>
        <w:rPr>
          <w:b/>
          <w:bCs/>
          <w:sz w:val="27"/>
          <w:szCs w:val="27"/>
        </w:rPr>
        <w:t xml:space="preserve">: Ленинградская область, Выборгский район, </w:t>
      </w:r>
      <w:r>
        <w:rPr>
          <w:b/>
          <w:bCs/>
          <w:sz w:val="27"/>
          <w:szCs w:val="27"/>
        </w:rPr>
        <w:t xml:space="preserve">Первомайское сельское поселение, урочище Сийранмяки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tbl>
      <w:tblPr>
        <w:tblW w:w="10339" w:type="dxa"/>
        <w:tblInd w:w="-4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297"/>
        <w:gridCol w:w="3804"/>
        <w:gridCol w:w="3685"/>
      </w:tblGrid>
      <w:tr>
        <w:tblPrEx/>
        <w:trPr/>
        <w:tc>
          <w:tcPr>
            <w:tcW w:w="5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овая принадлежность предмета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редмет охраны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Фотофиксация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Объемно-пространственное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планировочное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решение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0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сторическое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местоположение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конфигурация и габариты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объекта, расположенного на территории урочища Сийранмяки, северо-восточнее п. Ольшаники,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Первомайского сельского поселения Выборгского района,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Ленинградской области;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композиционное и территориального расположение объекта на участке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историческое объемно-пространственное решение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сооружений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ценных объектов исторической среды: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сооружений второй финской оборонительной линии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элементов природного ландшафта, сыгравших важную роль в боевых действиях (высота 171.0)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60000" cy="1172571"/>
                      <wp:effectExtent l="0" t="0" r="0" b="8890"/>
                      <wp:docPr id="7" name="Рисунок 3" descr="\\192.168.10.3\экспертизы\Дирекция Леноблас ти 3 района 25-26 год\Объекты\Настя\Высота 171, Сийранмяки (Выборгский)\4. Проект предмета охраны\Проект границ итог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3432546" name="Picture 1" descr="\\192.168.10.3\экспертизы\Дирекция Леноблас ти 3 района 25-26 год\Объекты\Настя\Высота 171, Сийранмяки (Выборгский)\4. Проект предмета охраны\Проект границ итог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rcRect l="11729" t="16489" r="14310" b="238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0000" cy="11725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70.08pt;height:92.33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78660" cy="2505075"/>
                      <wp:effectExtent l="0" t="0" r="2540" b="9525"/>
                      <wp:docPr id="8" name="Рисунок 41" descr="\\192.168.10.3\экспертизы\Дирекция Леноблас ти 3 района 25-26 год\Объекты\Настя\Высота 171, Сийранмяки\2. Собранные\2. Иконография\1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82202327" name="Picture 22" descr="\\192.168.10.3\экспертизы\Дирекция Леноблас ти 3 района 25-26 год\Объекты\Настя\Высота 171, Сийранмяки\2. Собранные\2. Иконография\11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rcRect l="22918" t="24738" r="44451" b="458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80000" cy="25067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155.80pt;height:197.25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Расположение войск 14.06.1944 на территории высоты 171.0 при проведении штурма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ельеф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0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исторический рельеф местности, сочетающий в себе естественную природную возвышенность (высота 171.0) и лесисто-болотистые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искусственные насыпи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углубления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эшелонированные участки, сооруженны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обороны.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60000" cy="1454931"/>
                      <wp:effectExtent l="0" t="0" r="0" b="0"/>
                      <wp:docPr id="9" name="Рисунок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54073418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rcRect l="18573" t="18748" r="30646" b="26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0000" cy="1454931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170.08pt;height:114.56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Карта 1930-х гг.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60000" cy="1620405"/>
                      <wp:effectExtent l="0" t="0" r="0" b="0"/>
                      <wp:docPr id="10" name="Рисунок 2" descr="\\192.168.10.3\экспертизы\Дирекция Леноблас ти 3 района 25-26 год\Объекты\Настя\Высота 171, Сийранмяки\3. Фотофиксация\фф\IMG_20251211_154420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92148461" name="Picture 2" descr="\\192.168.10.3\экспертизы\Дирекция Леноблас ти 3 района 25-26 год\Объекты\Настя\Высота 171, Сийранмяки\3. Фотофиксация\фф\IMG_20251211_154420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0000" cy="1620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170.08pt;height:127.59pt;mso-wrap-distance-left:0.00pt;mso-wrap-distance-top:0.00pt;mso-wrap-distance-right:0.00pt;mso-wrap-distance-bottom:0.00pt;" stroked="f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59451" cy="1599414"/>
                      <wp:effectExtent l="0" t="0" r="0" b="1270"/>
                      <wp:docPr id="11" name="Рисунок 12" descr="\\192.168.10.3\экспертизы\Дирекция Леноблас ти 3 района 25-26 год\Объекты\Настя\Высота 171, Сийранмяки\3. Фотофиксация\фф\IMG_20251211_154423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47828469" name="Picture 13" descr="\\192.168.10.3\экспертизы\Дирекция Леноблас ти 3 района 25-26 год\Объекты\Настя\Высота 171, Сийранмяки\3. Фотофиксация\фф\IMG_20251211_154423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rcRect l="0" t="1264" r="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0000" cy="1599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170.04pt;height:125.94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Зеленые насаждения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0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таровозрастн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ценные породы деревьев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основной видовой состав.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58982" cy="1585548"/>
                      <wp:effectExtent l="0" t="0" r="0" b="0"/>
                      <wp:docPr id="12" name="Рисунок 5" descr="\\192.168.10.3\экспертизы\Дирекция Леноблас ти 3 района 25-26 год\Объекты\Настя\Высота 171, Сийранмяки\3. Фотофиксация\фф\IMG_20251211_15081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0374649" name="Picture 5" descr="\\192.168.10.3\экспертизы\Дирекция Леноблас ти 3 района 25-26 год\Объекты\Настя\Высота 171, Сийранмяки\3. Фотофиксация\фф\IMG_20251211_150811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/>
                              <a:srcRect l="0" t="2106" r="0" b="-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0000" cy="15862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170.00pt;height:124.85pt;mso-wrap-distance-left:0.00pt;mso-wrap-distance-top:0.00pt;mso-wrap-distance-right:0.00pt;mso-wrap-distance-bottom:0.00pt;" stroked="f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Элементы второй финской оборонительной линии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80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историческое направление и трассировка оборонительной линии </w:t>
            </w:r>
            <w:bookmarkStart w:id="0" w:name="undefined"/>
            <w:r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на июнь 1944 года;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сторическое местоположение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габариты, направление и трассировка траншей и элементов траншей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историческое местоположение, габариты, направление, трассировка и конфигурация рядов железобетонных противотанковых надолб;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историческое местоположение, габариты и конфигурация железобетонных оборонительных сооружений (фрагменты убежищ, бронеколпаков, площадок и долговременных огневых точек)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сохранившийся культурный слой времен сражения при Сийранмяки.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58989" cy="1330571"/>
                      <wp:effectExtent l="0" t="0" r="0" b="3175"/>
                      <wp:docPr id="13" name="Рисунок 8" descr="\\192.168.10.3\экспертизы\Дирекция Леноблас ти 3 района 25-26 год\Объекты\Настя\Высота 171, Сийранмяки\2. Собранные\2. Иконография\картинки и скрины\00000095_FULL_watermark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75562768" name="Picture 8" descr="\\192.168.10.3\экспертизы\Дирекция Леноблас ти 3 района 25-26 год\Объекты\Настя\Высота 171, Сийранмяки\2. Собранные\2. Иконография\картинки и скрины\00000095_FULL_watermark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rcRect l="33774" t="53865" r="28879" b="17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0000" cy="13311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width:170.00pt;height:104.77pt;mso-wrap-distance-left:0.00pt;mso-wrap-distance-top:0.00pt;mso-wrap-distance-right:0.00pt;mso-wrap-distance-bottom:0.00pt;" stroked="f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Первоначальная схема оборонительных сооружений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60000" cy="1658972"/>
                      <wp:effectExtent l="0" t="0" r="0" b="0"/>
                      <wp:docPr id="14" name="Рисунок 4" descr="\\192.168.10.3\экспертизы\Дирекция Леноблас ти 3 района 25-26 год\Объекты\Настя\Высота 171, Сийранмяки\3. Фотофиксация\фф\IMG_20251211_151948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40252060" name="Picture 4" descr="\\192.168.10.3\экспертизы\Дирекция Леноблас ти 3 района 25-26 год\Объекты\Настя\Высота 171, Сийранмяки\3. Фотофиксация\фф\IMG_20251211_151948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"/>
                              <a:srcRect l="11918" t="-1" r="0" b="98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0000" cy="16589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170.08pt;height:130.63pt;mso-wrap-distance-left:0.00pt;mso-wrap-distance-top:0.00pt;mso-wrap-distance-right:0.00pt;mso-wrap-distance-bottom:0.00pt;" stroked="f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60000" cy="1596687"/>
                      <wp:effectExtent l="0" t="0" r="0" b="3810"/>
                      <wp:docPr id="15" name="Рисунок 11" descr="\\192.168.10.3\экспертизы\Дирекция Леноблас ти 3 района 25-26 год\Объекты\Настя\Высота 171, Сийранмяки\3. Фотофиксация\фф\IMG_20251211_153047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02565114" name="Picture 12" descr="\\192.168.10.3\экспертизы\Дирекция Леноблас ти 3 района 25-26 год\Объекты\Настя\Высота 171, Сийранмяки\3. Фотофиксация\фф\IMG_20251211_153047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2"/>
                              <a:srcRect l="5754" t="4211" r="13021" b="157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0000" cy="15966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170.08pt;height:125.72pt;mso-wrap-distance-left:0.00pt;mso-wrap-distance-top:0.00pt;mso-wrap-distance-right:0.00pt;mso-wrap-distance-bottom:0.00pt;" stroked="f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59451" cy="1285515"/>
                      <wp:effectExtent l="0" t="0" r="0" b="0"/>
                      <wp:docPr id="16" name="Рисунок 10" descr="\\192.168.10.3\экспертизы\Дирекция Леноблас ти 3 района 25-26 год\Объекты\Настя\Высота 171, Сийранмяки\3. Фотофиксация\фф\IMG_20251211_14502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0995876" name="Picture 11" descr="\\192.168.10.3\экспертизы\Дирекция Леноблас ти 3 района 25-26 год\Объекты\Настя\Высота 171, Сийранмяки\3. Фотофиксация\фф\IMG_20251211_145025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rcRect l="0" t="20640" r="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0000" cy="12858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170.04pt;height:101.22pt;mso-wrap-distance-left:0.00pt;mso-wrap-distance-top:0.00pt;mso-wrap-distance-right:0.00pt;mso-wrap-distance-bottom:0.00pt;" stroked="f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59394" cy="1508077"/>
                      <wp:effectExtent l="0" t="0" r="0" b="0"/>
                      <wp:docPr id="17" name="Рисунок 9" descr="\\192.168.10.3\экспертизы\Дирекция Леноблас ти 3 района 25-26 год\Объекты\Настя\Высота 171, Сийранмяки\3. Фотофиксация\фф\IMG_20251211_14483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27841801" name="Picture 10" descr="\\192.168.10.3\экспертизы\Дирекция Леноблас ти 3 района 25-26 год\Объекты\Настя\Высота 171, Сийранмяки\3. Фотофиксация\фф\IMG_20251211_144835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4"/>
                              <a:srcRect l="0" t="32235" r="0" b="153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0000" cy="15084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170.03pt;height:118.75pt;mso-wrap-distance-left:0.00pt;mso-wrap-distance-top:0.00pt;mso-wrap-distance-right:0.00pt;mso-wrap-distance-bottom:0.00pt;" stroked="f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contextualSpacing/>
        <w:jc w:val="left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pStyle w:val="926"/>
        <w:ind w:left="142" w:right="292" w:firstLine="567"/>
        <w:jc w:val="both"/>
        <w:rPr>
          <w:i/>
          <w:iCs/>
          <w:sz w:val="26"/>
          <w:szCs w:val="26"/>
          <w:highlight w:val="none"/>
        </w:rPr>
      </w:pPr>
      <w:r>
        <w:rPr>
          <w:i/>
          <w:iCs/>
          <w:sz w:val="26"/>
          <w:szCs w:val="26"/>
        </w:rPr>
        <w:t xml:space="preserve">Предмет охраны может быть уточнен в процессе историко-культурных </w:t>
        <w:br/>
      </w:r>
      <w:r>
        <w:rPr>
          <w:i/>
          <w:iCs/>
          <w:sz w:val="26"/>
          <w:szCs w:val="26"/>
        </w:rPr>
        <w:t xml:space="preserve">и реставрационных исследований, реставрационных работ.</w:t>
      </w:r>
      <w:r>
        <w:rPr>
          <w:i/>
          <w:iCs/>
          <w:sz w:val="26"/>
          <w:szCs w:val="26"/>
          <w:highlight w:val="none"/>
        </w:rPr>
      </w:r>
      <w:r>
        <w:rPr>
          <w:i/>
          <w:iCs/>
          <w:sz w:val="26"/>
          <w:szCs w:val="26"/>
          <w:highlight w:val="none"/>
        </w:rPr>
      </w:r>
    </w:p>
    <w:sectPr>
      <w:footnotePr/>
      <w:endnotePr/>
      <w:type w:val="nextPage"/>
      <w:pgSz w:w="11906" w:h="16838" w:orient="portrait"/>
      <w:pgMar w:top="992" w:right="708" w:bottom="822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603000000000000"/>
  </w:font>
  <w:font w:name="Symbol">
    <w:panose1 w:val="05010000000000000000"/>
  </w:font>
  <w:font w:name="Bookman Old Style">
    <w:panose1 w:val="02060603050605020204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MS Mincho">
    <w:panose1 w:val="02070609020205090404"/>
  </w:font>
  <w:font w:name="Wingdings">
    <w:panose1 w:val="05010000000000000000"/>
  </w:font>
  <w:font w:name="Franklin Gothic Book">
    <w:panose1 w:val="020B0603020202020204"/>
  </w:font>
  <w:font w:name="Verdan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644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42" w:hanging="26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sz w:val="27"/>
        <w:szCs w:val="27"/>
        <w:lang w:val="ru-RU" w:eastAsia="en-US" w:bidi="ar-SA"/>
      </w:rPr>
    </w:lvl>
    <w:lvl w:ilvl="1">
      <w:start w:val="0"/>
      <w:numFmt w:val="bullet"/>
      <w:isLgl w:val="false"/>
      <w:suff w:val="tab"/>
      <w:lvlText w:val="-"/>
      <w:lvlJc w:val="left"/>
      <w:pPr>
        <w:ind w:left="1636" w:hanging="20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591" w:hanging="206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43" w:hanging="206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95" w:hanging="206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47" w:hanging="206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99" w:hanging="206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51" w:hanging="206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03" w:hanging="206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15"/>
  </w:num>
  <w:num w:numId="5">
    <w:abstractNumId w:val="0"/>
  </w:num>
  <w:num w:numId="6">
    <w:abstractNumId w:val="4"/>
  </w:num>
  <w:num w:numId="7">
    <w:abstractNumId w:val="2"/>
  </w:num>
  <w:num w:numId="8">
    <w:abstractNumId w:val="17"/>
  </w:num>
  <w:num w:numId="9">
    <w:abstractNumId w:val="7"/>
  </w:num>
  <w:num w:numId="10">
    <w:abstractNumId w:val="11"/>
  </w:num>
  <w:num w:numId="11">
    <w:abstractNumId w:val="10"/>
  </w:num>
  <w:num w:numId="12">
    <w:abstractNumId w:val="5"/>
  </w:num>
  <w:num w:numId="13">
    <w:abstractNumId w:val="12"/>
  </w:num>
  <w:num w:numId="14">
    <w:abstractNumId w:val="13"/>
  </w:num>
  <w:num w:numId="15">
    <w:abstractNumId w:val="16"/>
  </w:num>
  <w:num w:numId="16">
    <w:abstractNumId w:val="9"/>
  </w:num>
  <w:num w:numId="17">
    <w:abstractNumId w:val="8"/>
  </w:num>
  <w:num w:numId="18">
    <w:abstractNumId w:val="14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9">
    <w:name w:val="Heading 1"/>
    <w:basedOn w:val="926"/>
    <w:next w:val="926"/>
    <w:link w:val="75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0">
    <w:name w:val="Heading 1 Char"/>
    <w:link w:val="749"/>
    <w:uiPriority w:val="9"/>
    <w:rPr>
      <w:rFonts w:ascii="Arial" w:hAnsi="Arial" w:eastAsia="Arial" w:cs="Arial"/>
      <w:sz w:val="40"/>
      <w:szCs w:val="40"/>
    </w:rPr>
  </w:style>
  <w:style w:type="paragraph" w:styleId="751">
    <w:name w:val="Heading 2"/>
    <w:basedOn w:val="926"/>
    <w:next w:val="926"/>
    <w:link w:val="75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2">
    <w:name w:val="Heading 2 Char"/>
    <w:link w:val="751"/>
    <w:uiPriority w:val="9"/>
    <w:rPr>
      <w:rFonts w:ascii="Arial" w:hAnsi="Arial" w:eastAsia="Arial" w:cs="Arial"/>
      <w:sz w:val="34"/>
    </w:rPr>
  </w:style>
  <w:style w:type="paragraph" w:styleId="753">
    <w:name w:val="Heading 3"/>
    <w:basedOn w:val="926"/>
    <w:next w:val="926"/>
    <w:link w:val="7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4">
    <w:name w:val="Heading 3 Char"/>
    <w:link w:val="753"/>
    <w:uiPriority w:val="9"/>
    <w:rPr>
      <w:rFonts w:ascii="Arial" w:hAnsi="Arial" w:eastAsia="Arial" w:cs="Arial"/>
      <w:sz w:val="30"/>
      <w:szCs w:val="30"/>
    </w:rPr>
  </w:style>
  <w:style w:type="paragraph" w:styleId="755">
    <w:name w:val="Heading 4"/>
    <w:basedOn w:val="926"/>
    <w:next w:val="926"/>
    <w:link w:val="75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6">
    <w:name w:val="Heading 4 Char"/>
    <w:link w:val="755"/>
    <w:uiPriority w:val="9"/>
    <w:rPr>
      <w:rFonts w:ascii="Arial" w:hAnsi="Arial" w:eastAsia="Arial" w:cs="Arial"/>
      <w:b/>
      <w:bCs/>
      <w:sz w:val="26"/>
      <w:szCs w:val="26"/>
    </w:rPr>
  </w:style>
  <w:style w:type="paragraph" w:styleId="757">
    <w:name w:val="Heading 5"/>
    <w:basedOn w:val="926"/>
    <w:next w:val="926"/>
    <w:link w:val="75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8">
    <w:name w:val="Heading 5 Char"/>
    <w:link w:val="757"/>
    <w:uiPriority w:val="9"/>
    <w:rPr>
      <w:rFonts w:ascii="Arial" w:hAnsi="Arial" w:eastAsia="Arial" w:cs="Arial"/>
      <w:b/>
      <w:bCs/>
      <w:sz w:val="24"/>
      <w:szCs w:val="24"/>
    </w:rPr>
  </w:style>
  <w:style w:type="paragraph" w:styleId="759">
    <w:name w:val="Heading 6"/>
    <w:basedOn w:val="926"/>
    <w:next w:val="926"/>
    <w:link w:val="76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0">
    <w:name w:val="Heading 6 Char"/>
    <w:link w:val="759"/>
    <w:uiPriority w:val="9"/>
    <w:rPr>
      <w:rFonts w:ascii="Arial" w:hAnsi="Arial" w:eastAsia="Arial" w:cs="Arial"/>
      <w:b/>
      <w:bCs/>
      <w:sz w:val="22"/>
      <w:szCs w:val="22"/>
    </w:rPr>
  </w:style>
  <w:style w:type="paragraph" w:styleId="761">
    <w:name w:val="Heading 7"/>
    <w:basedOn w:val="926"/>
    <w:next w:val="926"/>
    <w:link w:val="76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2">
    <w:name w:val="Heading 7 Char"/>
    <w:link w:val="7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3">
    <w:name w:val="Heading 8"/>
    <w:basedOn w:val="926"/>
    <w:next w:val="926"/>
    <w:link w:val="76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4">
    <w:name w:val="Heading 8 Char"/>
    <w:link w:val="763"/>
    <w:uiPriority w:val="9"/>
    <w:rPr>
      <w:rFonts w:ascii="Arial" w:hAnsi="Arial" w:eastAsia="Arial" w:cs="Arial"/>
      <w:i/>
      <w:iCs/>
      <w:sz w:val="22"/>
      <w:szCs w:val="22"/>
    </w:rPr>
  </w:style>
  <w:style w:type="paragraph" w:styleId="765">
    <w:name w:val="Heading 9"/>
    <w:basedOn w:val="926"/>
    <w:next w:val="926"/>
    <w:link w:val="7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6">
    <w:name w:val="Heading 9 Char"/>
    <w:link w:val="765"/>
    <w:uiPriority w:val="9"/>
    <w:rPr>
      <w:rFonts w:ascii="Arial" w:hAnsi="Arial" w:eastAsia="Arial" w:cs="Arial"/>
      <w:i/>
      <w:iCs/>
      <w:sz w:val="21"/>
      <w:szCs w:val="21"/>
    </w:rPr>
  </w:style>
  <w:style w:type="paragraph" w:styleId="767">
    <w:name w:val="No Spacing"/>
    <w:uiPriority w:val="1"/>
    <w:qFormat/>
    <w:pPr>
      <w:spacing w:before="0" w:after="0" w:line="240" w:lineRule="auto"/>
    </w:pPr>
  </w:style>
  <w:style w:type="paragraph" w:styleId="768">
    <w:name w:val="Title"/>
    <w:basedOn w:val="926"/>
    <w:next w:val="926"/>
    <w:link w:val="76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9">
    <w:name w:val="Title Char"/>
    <w:link w:val="768"/>
    <w:uiPriority w:val="10"/>
    <w:rPr>
      <w:sz w:val="48"/>
      <w:szCs w:val="48"/>
    </w:rPr>
  </w:style>
  <w:style w:type="paragraph" w:styleId="770">
    <w:name w:val="Subtitle"/>
    <w:basedOn w:val="926"/>
    <w:next w:val="926"/>
    <w:link w:val="771"/>
    <w:uiPriority w:val="11"/>
    <w:qFormat/>
    <w:pPr>
      <w:spacing w:before="200" w:after="200"/>
    </w:pPr>
    <w:rPr>
      <w:sz w:val="24"/>
      <w:szCs w:val="24"/>
    </w:rPr>
  </w:style>
  <w:style w:type="character" w:styleId="771">
    <w:name w:val="Subtitle Char"/>
    <w:link w:val="770"/>
    <w:uiPriority w:val="11"/>
    <w:rPr>
      <w:sz w:val="24"/>
      <w:szCs w:val="24"/>
    </w:rPr>
  </w:style>
  <w:style w:type="paragraph" w:styleId="772">
    <w:name w:val="Quote"/>
    <w:basedOn w:val="926"/>
    <w:next w:val="926"/>
    <w:link w:val="773"/>
    <w:uiPriority w:val="29"/>
    <w:qFormat/>
    <w:pPr>
      <w:ind w:left="720" w:right="720"/>
    </w:pPr>
    <w:rPr>
      <w:i/>
    </w:rPr>
  </w:style>
  <w:style w:type="character" w:styleId="773">
    <w:name w:val="Quote Char"/>
    <w:link w:val="772"/>
    <w:uiPriority w:val="29"/>
    <w:rPr>
      <w:i/>
    </w:rPr>
  </w:style>
  <w:style w:type="paragraph" w:styleId="774">
    <w:name w:val="Intense Quote"/>
    <w:basedOn w:val="926"/>
    <w:next w:val="926"/>
    <w:link w:val="7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5">
    <w:name w:val="Intense Quote Char"/>
    <w:link w:val="774"/>
    <w:uiPriority w:val="30"/>
    <w:rPr>
      <w:i/>
    </w:rPr>
  </w:style>
  <w:style w:type="paragraph" w:styleId="776">
    <w:name w:val="Header"/>
    <w:basedOn w:val="926"/>
    <w:link w:val="7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7">
    <w:name w:val="Header Char"/>
    <w:link w:val="776"/>
    <w:uiPriority w:val="99"/>
  </w:style>
  <w:style w:type="paragraph" w:styleId="778">
    <w:name w:val="Footer"/>
    <w:basedOn w:val="926"/>
    <w:link w:val="7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9">
    <w:name w:val="Footer Char"/>
    <w:link w:val="778"/>
    <w:uiPriority w:val="99"/>
  </w:style>
  <w:style w:type="paragraph" w:styleId="780">
    <w:name w:val="Caption"/>
    <w:basedOn w:val="926"/>
    <w:next w:val="926"/>
    <w:link w:val="7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1">
    <w:name w:val="Caption Char"/>
    <w:link w:val="780"/>
    <w:uiPriority w:val="35"/>
    <w:rPr>
      <w:b/>
      <w:bCs/>
      <w:color w:val="4f81bd" w:themeColor="accent1"/>
      <w:sz w:val="18"/>
      <w:szCs w:val="18"/>
    </w:rPr>
  </w:style>
  <w:style w:type="table" w:styleId="78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8">
    <w:name w:val="Hyperlink"/>
    <w:uiPriority w:val="99"/>
    <w:unhideWhenUsed/>
    <w:rPr>
      <w:color w:val="0000ff" w:themeColor="hyperlink"/>
      <w:u w:val="single"/>
    </w:rPr>
  </w:style>
  <w:style w:type="paragraph" w:styleId="909">
    <w:name w:val="footnote text"/>
    <w:basedOn w:val="926"/>
    <w:link w:val="910"/>
    <w:uiPriority w:val="99"/>
    <w:semiHidden/>
    <w:unhideWhenUsed/>
    <w:pPr>
      <w:spacing w:after="40" w:line="240" w:lineRule="auto"/>
    </w:pPr>
    <w:rPr>
      <w:sz w:val="18"/>
    </w:rPr>
  </w:style>
  <w:style w:type="character" w:styleId="910">
    <w:name w:val="Footnote Text Char"/>
    <w:link w:val="909"/>
    <w:uiPriority w:val="99"/>
    <w:rPr>
      <w:sz w:val="18"/>
    </w:rPr>
  </w:style>
  <w:style w:type="character" w:styleId="911">
    <w:name w:val="footnote reference"/>
    <w:uiPriority w:val="99"/>
    <w:unhideWhenUsed/>
    <w:rPr>
      <w:vertAlign w:val="superscript"/>
    </w:rPr>
  </w:style>
  <w:style w:type="paragraph" w:styleId="912">
    <w:name w:val="endnote text"/>
    <w:basedOn w:val="926"/>
    <w:link w:val="913"/>
    <w:uiPriority w:val="99"/>
    <w:semiHidden/>
    <w:unhideWhenUsed/>
    <w:pPr>
      <w:spacing w:after="0" w:line="240" w:lineRule="auto"/>
    </w:pPr>
    <w:rPr>
      <w:sz w:val="20"/>
    </w:rPr>
  </w:style>
  <w:style w:type="character" w:styleId="913">
    <w:name w:val="Endnote Text Char"/>
    <w:link w:val="912"/>
    <w:uiPriority w:val="99"/>
    <w:rPr>
      <w:sz w:val="20"/>
    </w:rPr>
  </w:style>
  <w:style w:type="character" w:styleId="914">
    <w:name w:val="endnote reference"/>
    <w:uiPriority w:val="99"/>
    <w:semiHidden/>
    <w:unhideWhenUsed/>
    <w:rPr>
      <w:vertAlign w:val="superscript"/>
    </w:rPr>
  </w:style>
  <w:style w:type="paragraph" w:styleId="915">
    <w:name w:val="toc 1"/>
    <w:basedOn w:val="926"/>
    <w:next w:val="926"/>
    <w:uiPriority w:val="39"/>
    <w:unhideWhenUsed/>
    <w:pPr>
      <w:ind w:left="0" w:right="0" w:firstLine="0"/>
      <w:spacing w:after="57"/>
    </w:pPr>
  </w:style>
  <w:style w:type="paragraph" w:styleId="916">
    <w:name w:val="toc 2"/>
    <w:basedOn w:val="926"/>
    <w:next w:val="926"/>
    <w:uiPriority w:val="39"/>
    <w:unhideWhenUsed/>
    <w:pPr>
      <w:ind w:left="283" w:right="0" w:firstLine="0"/>
      <w:spacing w:after="57"/>
    </w:pPr>
  </w:style>
  <w:style w:type="paragraph" w:styleId="917">
    <w:name w:val="toc 3"/>
    <w:basedOn w:val="926"/>
    <w:next w:val="926"/>
    <w:uiPriority w:val="39"/>
    <w:unhideWhenUsed/>
    <w:pPr>
      <w:ind w:left="567" w:right="0" w:firstLine="0"/>
      <w:spacing w:after="57"/>
    </w:pPr>
  </w:style>
  <w:style w:type="paragraph" w:styleId="918">
    <w:name w:val="toc 4"/>
    <w:basedOn w:val="926"/>
    <w:next w:val="926"/>
    <w:uiPriority w:val="39"/>
    <w:unhideWhenUsed/>
    <w:pPr>
      <w:ind w:left="850" w:right="0" w:firstLine="0"/>
      <w:spacing w:after="57"/>
    </w:pPr>
  </w:style>
  <w:style w:type="paragraph" w:styleId="919">
    <w:name w:val="toc 5"/>
    <w:basedOn w:val="926"/>
    <w:next w:val="926"/>
    <w:uiPriority w:val="39"/>
    <w:unhideWhenUsed/>
    <w:pPr>
      <w:ind w:left="1134" w:right="0" w:firstLine="0"/>
      <w:spacing w:after="57"/>
    </w:pPr>
  </w:style>
  <w:style w:type="paragraph" w:styleId="920">
    <w:name w:val="toc 6"/>
    <w:basedOn w:val="926"/>
    <w:next w:val="926"/>
    <w:uiPriority w:val="39"/>
    <w:unhideWhenUsed/>
    <w:pPr>
      <w:ind w:left="1417" w:right="0" w:firstLine="0"/>
      <w:spacing w:after="57"/>
    </w:pPr>
  </w:style>
  <w:style w:type="paragraph" w:styleId="921">
    <w:name w:val="toc 7"/>
    <w:basedOn w:val="926"/>
    <w:next w:val="926"/>
    <w:uiPriority w:val="39"/>
    <w:unhideWhenUsed/>
    <w:pPr>
      <w:ind w:left="1701" w:right="0" w:firstLine="0"/>
      <w:spacing w:after="57"/>
    </w:pPr>
  </w:style>
  <w:style w:type="paragraph" w:styleId="922">
    <w:name w:val="toc 8"/>
    <w:basedOn w:val="926"/>
    <w:next w:val="926"/>
    <w:uiPriority w:val="39"/>
    <w:unhideWhenUsed/>
    <w:pPr>
      <w:ind w:left="1984" w:right="0" w:firstLine="0"/>
      <w:spacing w:after="57"/>
    </w:pPr>
  </w:style>
  <w:style w:type="paragraph" w:styleId="923">
    <w:name w:val="toc 9"/>
    <w:basedOn w:val="926"/>
    <w:next w:val="926"/>
    <w:uiPriority w:val="39"/>
    <w:unhideWhenUsed/>
    <w:pPr>
      <w:ind w:left="2268" w:right="0" w:firstLine="0"/>
      <w:spacing w:after="57"/>
    </w:pPr>
  </w:style>
  <w:style w:type="paragraph" w:styleId="924">
    <w:name w:val="TOC Heading"/>
    <w:uiPriority w:val="39"/>
    <w:unhideWhenUsed/>
  </w:style>
  <w:style w:type="paragraph" w:styleId="925">
    <w:name w:val="table of figures"/>
    <w:basedOn w:val="926"/>
    <w:next w:val="926"/>
    <w:uiPriority w:val="99"/>
    <w:unhideWhenUsed/>
    <w:pPr>
      <w:spacing w:after="0" w:afterAutospacing="0"/>
    </w:pPr>
  </w:style>
  <w:style w:type="paragraph" w:styleId="926" w:default="1">
    <w:name w:val="Normal"/>
    <w:next w:val="926"/>
    <w:link w:val="926"/>
    <w:qFormat/>
    <w:rPr>
      <w:sz w:val="24"/>
      <w:szCs w:val="24"/>
      <w:lang w:val="ru-RU" w:eastAsia="ru-RU" w:bidi="ar-SA"/>
    </w:rPr>
  </w:style>
  <w:style w:type="paragraph" w:styleId="927">
    <w:name w:val="Заголовок 1"/>
    <w:basedOn w:val="926"/>
    <w:next w:val="926"/>
    <w:link w:val="926"/>
    <w:qFormat/>
    <w:pPr>
      <w:jc w:val="center"/>
      <w:keepNext/>
      <w:outlineLvl w:val="0"/>
    </w:pPr>
    <w:rPr>
      <w:b/>
      <w:sz w:val="22"/>
      <w:szCs w:val="20"/>
    </w:rPr>
  </w:style>
  <w:style w:type="paragraph" w:styleId="928">
    <w:name w:val="Заголовок 2"/>
    <w:basedOn w:val="926"/>
    <w:next w:val="926"/>
    <w:link w:val="951"/>
    <w:qFormat/>
    <w:pPr>
      <w:jc w:val="both"/>
      <w:keepNext/>
      <w:outlineLvl w:val="1"/>
    </w:pPr>
    <w:rPr>
      <w:sz w:val="28"/>
      <w:szCs w:val="20"/>
      <w:lang w:val="en-US" w:eastAsia="en-US"/>
    </w:rPr>
  </w:style>
  <w:style w:type="paragraph" w:styleId="929">
    <w:name w:val="Заголовок 3"/>
    <w:basedOn w:val="926"/>
    <w:next w:val="926"/>
    <w:link w:val="952"/>
    <w:qFormat/>
    <w:pPr>
      <w:ind w:right="-381"/>
      <w:keepNext/>
      <w:tabs>
        <w:tab w:val="left" w:pos="-142" w:leader="none"/>
      </w:tabs>
      <w:outlineLvl w:val="2"/>
    </w:pPr>
    <w:rPr>
      <w:sz w:val="28"/>
      <w:szCs w:val="20"/>
      <w:lang w:val="en-US" w:eastAsia="en-US"/>
    </w:rPr>
  </w:style>
  <w:style w:type="paragraph" w:styleId="930">
    <w:name w:val="Заголовок 4"/>
    <w:basedOn w:val="926"/>
    <w:next w:val="926"/>
    <w:link w:val="948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931">
    <w:name w:val="Заголовок 5"/>
    <w:basedOn w:val="926"/>
    <w:next w:val="926"/>
    <w:link w:val="953"/>
    <w:qFormat/>
    <w:pPr>
      <w:ind w:right="567"/>
      <w:keepNext/>
      <w:tabs>
        <w:tab w:val="left" w:pos="-142" w:leader="none"/>
      </w:tabs>
      <w:outlineLvl w:val="4"/>
    </w:pPr>
    <w:rPr>
      <w:sz w:val="28"/>
      <w:szCs w:val="20"/>
      <w:lang w:val="en-US" w:eastAsia="en-US"/>
    </w:rPr>
  </w:style>
  <w:style w:type="paragraph" w:styleId="932">
    <w:name w:val="Заголовок 6"/>
    <w:basedOn w:val="926"/>
    <w:next w:val="926"/>
    <w:link w:val="954"/>
    <w:qFormat/>
    <w:pPr>
      <w:ind w:left="112" w:hanging="112"/>
      <w:keepNext/>
      <w:outlineLvl w:val="5"/>
    </w:pPr>
    <w:rPr>
      <w:color w:val="000000"/>
      <w:szCs w:val="20"/>
      <w:lang w:val="en-US" w:eastAsia="en-US"/>
    </w:rPr>
  </w:style>
  <w:style w:type="paragraph" w:styleId="933">
    <w:name w:val="Заголовок 7"/>
    <w:basedOn w:val="926"/>
    <w:next w:val="926"/>
    <w:link w:val="955"/>
    <w:qFormat/>
    <w:pPr>
      <w:jc w:val="center"/>
      <w:keepNext/>
      <w:outlineLvl w:val="6"/>
    </w:pPr>
    <w:rPr>
      <w:b/>
      <w:color w:val="000000"/>
      <w:szCs w:val="20"/>
      <w:lang w:val="en-US" w:eastAsia="en-US"/>
    </w:rPr>
  </w:style>
  <w:style w:type="paragraph" w:styleId="934">
    <w:name w:val="Заголовок 8"/>
    <w:basedOn w:val="926"/>
    <w:next w:val="926"/>
    <w:link w:val="956"/>
    <w:qFormat/>
    <w:pPr>
      <w:ind w:right="-99"/>
      <w:keepNext/>
      <w:outlineLvl w:val="7"/>
    </w:pPr>
    <w:rPr>
      <w:b/>
      <w:sz w:val="28"/>
      <w:szCs w:val="20"/>
      <w:lang w:val="en-US" w:eastAsia="en-US"/>
    </w:rPr>
  </w:style>
  <w:style w:type="paragraph" w:styleId="935">
    <w:name w:val="Заголовок 9"/>
    <w:basedOn w:val="926"/>
    <w:next w:val="926"/>
    <w:link w:val="957"/>
    <w:qFormat/>
    <w:pPr>
      <w:jc w:val="both"/>
      <w:keepNext/>
      <w:outlineLvl w:val="8"/>
    </w:pPr>
    <w:rPr>
      <w:b/>
      <w:sz w:val="28"/>
      <w:szCs w:val="20"/>
      <w:lang w:val="en-US" w:eastAsia="en-US"/>
    </w:rPr>
  </w:style>
  <w:style w:type="character" w:styleId="936">
    <w:name w:val="Основной шрифт абзаца"/>
    <w:next w:val="936"/>
    <w:link w:val="926"/>
    <w:semiHidden/>
  </w:style>
  <w:style w:type="table" w:styleId="937">
    <w:name w:val="Обычная таблица"/>
    <w:next w:val="937"/>
    <w:link w:val="926"/>
    <w:semiHidden/>
    <w:tblPr/>
  </w:style>
  <w:style w:type="numbering" w:styleId="938">
    <w:name w:val="Нет списка"/>
    <w:next w:val="938"/>
    <w:link w:val="926"/>
    <w:semiHidden/>
  </w:style>
  <w:style w:type="paragraph" w:styleId="939">
    <w:name w:val=" Знак Знак1 Знак Знак"/>
    <w:basedOn w:val="926"/>
    <w:next w:val="939"/>
    <w:link w:val="926"/>
    <w:pPr>
      <w:keepLines/>
      <w:spacing w:after="160" w:line="240" w:lineRule="exact"/>
    </w:pPr>
    <w:rPr>
      <w:rFonts w:ascii="Verdana" w:hAnsi="Verdana" w:eastAsia="MS Mincho" w:cs="Franklin Gothic Book"/>
      <w:sz w:val="20"/>
      <w:szCs w:val="20"/>
      <w:lang w:val="en-US" w:eastAsia="en-US"/>
    </w:rPr>
  </w:style>
  <w:style w:type="paragraph" w:styleId="940">
    <w:name w:val="ConsPlusNonformat"/>
    <w:next w:val="940"/>
    <w:link w:val="926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41">
    <w:name w:val="List Paragraph"/>
    <w:basedOn w:val="926"/>
    <w:next w:val="941"/>
    <w:link w:val="926"/>
    <w:pPr>
      <w:ind w:left="708"/>
    </w:pPr>
  </w:style>
  <w:style w:type="paragraph" w:styleId="942">
    <w:name w:val="Текст выноски"/>
    <w:basedOn w:val="926"/>
    <w:next w:val="942"/>
    <w:link w:val="943"/>
    <w:rPr>
      <w:rFonts w:ascii="Tahoma" w:hAnsi="Tahoma"/>
      <w:sz w:val="16"/>
      <w:szCs w:val="16"/>
      <w:lang w:val="en-US" w:eastAsia="en-US"/>
    </w:rPr>
  </w:style>
  <w:style w:type="character" w:styleId="943">
    <w:name w:val="Текст выноски Знак"/>
    <w:next w:val="943"/>
    <w:link w:val="942"/>
    <w:rPr>
      <w:rFonts w:ascii="Tahoma" w:hAnsi="Tahoma" w:cs="Tahoma"/>
      <w:sz w:val="16"/>
      <w:szCs w:val="16"/>
    </w:rPr>
  </w:style>
  <w:style w:type="paragraph" w:styleId="944">
    <w:name w:val="Основной текст с отступом"/>
    <w:basedOn w:val="926"/>
    <w:next w:val="944"/>
    <w:link w:val="945"/>
    <w:pPr>
      <w:ind w:left="-284"/>
      <w:jc w:val="center"/>
      <w:spacing w:before="60"/>
    </w:pPr>
    <w:rPr>
      <w:b/>
      <w:spacing w:val="30"/>
      <w:szCs w:val="20"/>
      <w:lang w:val="en-US" w:eastAsia="en-US"/>
    </w:rPr>
  </w:style>
  <w:style w:type="character" w:styleId="945">
    <w:name w:val="Основной текст с отступом Знак"/>
    <w:next w:val="945"/>
    <w:link w:val="944"/>
    <w:rPr>
      <w:b/>
      <w:spacing w:val="30"/>
      <w:sz w:val="24"/>
      <w:lang w:val="en-US" w:eastAsia="en-US"/>
    </w:rPr>
  </w:style>
  <w:style w:type="paragraph" w:styleId="946">
    <w:name w:val="Знак Знак Знак1 Знак Знак Знак Знак Знак Знак1 Знак Знак Знак Знак"/>
    <w:basedOn w:val="926"/>
    <w:next w:val="946"/>
    <w:link w:val="926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 w:eastAsia="en-US"/>
    </w:rPr>
  </w:style>
  <w:style w:type="table" w:styleId="947">
    <w:name w:val="Сетка таблицы"/>
    <w:basedOn w:val="937"/>
    <w:next w:val="947"/>
    <w:link w:val="926"/>
    <w:uiPriority w:val="39"/>
    <w:tblPr/>
  </w:style>
  <w:style w:type="character" w:styleId="948">
    <w:name w:val="Заголовок 4 Знак"/>
    <w:next w:val="948"/>
    <w:link w:val="930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949">
    <w:name w:val="Основной текст"/>
    <w:basedOn w:val="926"/>
    <w:next w:val="949"/>
    <w:link w:val="950"/>
    <w:pPr>
      <w:spacing w:after="120"/>
    </w:pPr>
    <w:rPr>
      <w:lang w:val="en-US" w:eastAsia="en-US"/>
    </w:rPr>
  </w:style>
  <w:style w:type="character" w:styleId="950">
    <w:name w:val="Основной текст Знак"/>
    <w:next w:val="950"/>
    <w:link w:val="949"/>
    <w:rPr>
      <w:sz w:val="24"/>
      <w:szCs w:val="24"/>
    </w:rPr>
  </w:style>
  <w:style w:type="character" w:styleId="951">
    <w:name w:val="Заголовок 2 Знак"/>
    <w:next w:val="951"/>
    <w:link w:val="928"/>
    <w:rPr>
      <w:sz w:val="28"/>
    </w:rPr>
  </w:style>
  <w:style w:type="character" w:styleId="952">
    <w:name w:val="Заголовок 3 Знак"/>
    <w:next w:val="952"/>
    <w:link w:val="929"/>
    <w:rPr>
      <w:sz w:val="28"/>
    </w:rPr>
  </w:style>
  <w:style w:type="character" w:styleId="953">
    <w:name w:val="Заголовок 5 Знак"/>
    <w:next w:val="953"/>
    <w:link w:val="931"/>
    <w:rPr>
      <w:sz w:val="28"/>
    </w:rPr>
  </w:style>
  <w:style w:type="character" w:styleId="954">
    <w:name w:val="Заголовок 6 Знак"/>
    <w:next w:val="954"/>
    <w:link w:val="932"/>
    <w:rPr>
      <w:color w:val="000000"/>
      <w:sz w:val="24"/>
    </w:rPr>
  </w:style>
  <w:style w:type="character" w:styleId="955">
    <w:name w:val="Заголовок 7 Знак"/>
    <w:next w:val="955"/>
    <w:link w:val="933"/>
    <w:rPr>
      <w:b/>
      <w:color w:val="000000"/>
      <w:sz w:val="24"/>
    </w:rPr>
  </w:style>
  <w:style w:type="character" w:styleId="956">
    <w:name w:val="Заголовок 8 Знак"/>
    <w:next w:val="956"/>
    <w:link w:val="934"/>
    <w:rPr>
      <w:b/>
      <w:sz w:val="28"/>
    </w:rPr>
  </w:style>
  <w:style w:type="character" w:styleId="957">
    <w:name w:val="Заголовок 9 Знак"/>
    <w:next w:val="957"/>
    <w:link w:val="935"/>
    <w:rPr>
      <w:b/>
      <w:sz w:val="28"/>
    </w:rPr>
  </w:style>
  <w:style w:type="paragraph" w:styleId="958">
    <w:name w:val="Основной текст 2"/>
    <w:basedOn w:val="926"/>
    <w:next w:val="958"/>
    <w:link w:val="959"/>
    <w:pPr>
      <w:jc w:val="center"/>
    </w:pPr>
    <w:rPr>
      <w:sz w:val="32"/>
      <w:szCs w:val="20"/>
      <w:lang w:val="en-US" w:eastAsia="en-US"/>
    </w:rPr>
  </w:style>
  <w:style w:type="character" w:styleId="959">
    <w:name w:val="Основной текст 2 Знак"/>
    <w:next w:val="959"/>
    <w:link w:val="958"/>
    <w:rPr>
      <w:sz w:val="32"/>
    </w:rPr>
  </w:style>
  <w:style w:type="paragraph" w:styleId="960">
    <w:name w:val="Цитата"/>
    <w:basedOn w:val="926"/>
    <w:next w:val="960"/>
    <w:link w:val="926"/>
    <w:pPr>
      <w:ind w:left="993" w:right="567" w:hanging="633"/>
    </w:pPr>
    <w:rPr>
      <w:sz w:val="28"/>
      <w:szCs w:val="20"/>
    </w:rPr>
  </w:style>
  <w:style w:type="paragraph" w:styleId="961">
    <w:name w:val="Основной текст с отступом 3"/>
    <w:basedOn w:val="926"/>
    <w:next w:val="961"/>
    <w:link w:val="962"/>
    <w:pPr>
      <w:ind w:left="28" w:hanging="28"/>
    </w:pPr>
    <w:rPr>
      <w:szCs w:val="20"/>
      <w:lang w:val="en-US" w:eastAsia="en-US"/>
    </w:rPr>
  </w:style>
  <w:style w:type="character" w:styleId="962">
    <w:name w:val="Основной текст с отступом 3 Знак"/>
    <w:next w:val="962"/>
    <w:link w:val="961"/>
    <w:rPr>
      <w:sz w:val="24"/>
    </w:rPr>
  </w:style>
  <w:style w:type="paragraph" w:styleId="963">
    <w:name w:val="Верхний колонтитул"/>
    <w:basedOn w:val="926"/>
    <w:next w:val="963"/>
    <w:link w:val="964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964">
    <w:name w:val="Верхний колонтитул Знак"/>
    <w:basedOn w:val="936"/>
    <w:next w:val="964"/>
    <w:link w:val="963"/>
  </w:style>
  <w:style w:type="paragraph" w:styleId="965">
    <w:name w:val="Основной текст с отступом 2"/>
    <w:basedOn w:val="926"/>
    <w:next w:val="965"/>
    <w:link w:val="966"/>
    <w:pPr>
      <w:ind w:firstLine="709"/>
      <w:jc w:val="both"/>
    </w:pPr>
    <w:rPr>
      <w:sz w:val="28"/>
      <w:szCs w:val="20"/>
      <w:lang w:val="en-US" w:eastAsia="en-US"/>
    </w:rPr>
  </w:style>
  <w:style w:type="character" w:styleId="966">
    <w:name w:val="Основной текст с отступом 2 Знак"/>
    <w:next w:val="966"/>
    <w:link w:val="965"/>
    <w:rPr>
      <w:sz w:val="28"/>
    </w:rPr>
  </w:style>
  <w:style w:type="paragraph" w:styleId="967">
    <w:name w:val="Нижний колонтитул"/>
    <w:basedOn w:val="926"/>
    <w:next w:val="967"/>
    <w:link w:val="968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968">
    <w:name w:val="Нижний колонтитул Знак"/>
    <w:basedOn w:val="936"/>
    <w:next w:val="968"/>
    <w:link w:val="967"/>
  </w:style>
  <w:style w:type="paragraph" w:styleId="969">
    <w:name w:val="Основной текст 3"/>
    <w:basedOn w:val="926"/>
    <w:next w:val="969"/>
    <w:link w:val="970"/>
    <w:rPr>
      <w:sz w:val="28"/>
      <w:szCs w:val="20"/>
      <w:lang w:val="en-US" w:eastAsia="en-US"/>
    </w:rPr>
  </w:style>
  <w:style w:type="character" w:styleId="970">
    <w:name w:val="Основной текст 3 Знак"/>
    <w:next w:val="970"/>
    <w:link w:val="969"/>
    <w:rPr>
      <w:sz w:val="28"/>
    </w:rPr>
  </w:style>
  <w:style w:type="paragraph" w:styleId="971">
    <w:name w:val="Схема документа"/>
    <w:basedOn w:val="926"/>
    <w:next w:val="971"/>
    <w:link w:val="972"/>
    <w:pPr>
      <w:shd w:val="clear" w:color="auto" w:fill="000080"/>
    </w:pPr>
    <w:rPr>
      <w:rFonts w:ascii="Tahoma" w:hAnsi="Tahoma"/>
      <w:sz w:val="20"/>
      <w:szCs w:val="20"/>
      <w:lang w:val="en-US" w:eastAsia="en-US"/>
    </w:rPr>
  </w:style>
  <w:style w:type="character" w:styleId="972">
    <w:name w:val="Схема документа Знак"/>
    <w:next w:val="972"/>
    <w:link w:val="971"/>
    <w:rPr>
      <w:rFonts w:ascii="Tahoma" w:hAnsi="Tahoma" w:cs="Tahoma"/>
      <w:shd w:val="clear" w:color="auto" w:fill="000080"/>
    </w:rPr>
  </w:style>
  <w:style w:type="character" w:styleId="973">
    <w:name w:val="Номер страницы"/>
    <w:next w:val="973"/>
    <w:link w:val="926"/>
  </w:style>
  <w:style w:type="paragraph" w:styleId="974">
    <w:name w:val="Style5"/>
    <w:basedOn w:val="926"/>
    <w:next w:val="974"/>
    <w:link w:val="926"/>
    <w:pPr>
      <w:ind w:firstLine="734"/>
      <w:jc w:val="both"/>
      <w:spacing w:line="259" w:lineRule="exact"/>
      <w:widowControl w:val="off"/>
    </w:pPr>
    <w:rPr>
      <w:rFonts w:ascii="Bookman Old Style" w:hAnsi="Bookman Old Style" w:cs="Bookman Old Style"/>
    </w:rPr>
  </w:style>
  <w:style w:type="paragraph" w:styleId="975">
    <w:name w:val="Style6"/>
    <w:basedOn w:val="926"/>
    <w:next w:val="975"/>
    <w:link w:val="926"/>
    <w:pPr>
      <w:spacing w:line="288" w:lineRule="exact"/>
      <w:widowControl w:val="off"/>
    </w:pPr>
    <w:rPr>
      <w:rFonts w:ascii="Bookman Old Style" w:hAnsi="Bookman Old Style" w:cs="Bookman Old Style"/>
    </w:rPr>
  </w:style>
  <w:style w:type="paragraph" w:styleId="976">
    <w:name w:val="Style2"/>
    <w:basedOn w:val="926"/>
    <w:next w:val="976"/>
    <w:link w:val="926"/>
    <w:pPr>
      <w:widowControl w:val="off"/>
    </w:pPr>
  </w:style>
  <w:style w:type="paragraph" w:styleId="977">
    <w:name w:val="Style7"/>
    <w:basedOn w:val="926"/>
    <w:next w:val="977"/>
    <w:link w:val="926"/>
    <w:pPr>
      <w:jc w:val="center"/>
      <w:spacing w:line="255" w:lineRule="exact"/>
      <w:widowControl w:val="off"/>
    </w:pPr>
  </w:style>
  <w:style w:type="character" w:styleId="978">
    <w:name w:val="Font Style11"/>
    <w:next w:val="978"/>
    <w:link w:val="926"/>
    <w:rPr>
      <w:rFonts w:ascii="Times New Roman" w:hAnsi="Times New Roman" w:cs="Times New Roman"/>
      <w:sz w:val="22"/>
      <w:szCs w:val="22"/>
    </w:rPr>
  </w:style>
  <w:style w:type="character" w:styleId="979">
    <w:name w:val="Font Style12"/>
    <w:next w:val="979"/>
    <w:link w:val="926"/>
    <w:rPr>
      <w:rFonts w:ascii="Times New Roman" w:hAnsi="Times New Roman" w:cs="Times New Roman"/>
      <w:sz w:val="20"/>
      <w:szCs w:val="20"/>
    </w:rPr>
  </w:style>
  <w:style w:type="paragraph" w:styleId="980">
    <w:name w:val="Абзац списка"/>
    <w:basedOn w:val="926"/>
    <w:next w:val="980"/>
    <w:link w:val="926"/>
    <w:uiPriority w:val="99"/>
    <w:qFormat/>
    <w:pPr>
      <w:contextualSpacing/>
      <w:ind w:left="720"/>
    </w:pPr>
  </w:style>
  <w:style w:type="paragraph" w:styleId="981">
    <w:name w:val="Table Paragraph"/>
    <w:basedOn w:val="926"/>
    <w:next w:val="981"/>
    <w:link w:val="926"/>
    <w:uiPriority w:val="1"/>
    <w:qFormat/>
    <w:pPr>
      <w:ind w:left="105"/>
      <w:spacing w:line="270" w:lineRule="exact"/>
      <w:widowControl w:val="off"/>
    </w:pPr>
    <w:rPr>
      <w:sz w:val="22"/>
      <w:szCs w:val="22"/>
      <w:lang w:bidi="ru-RU"/>
    </w:rPr>
  </w:style>
  <w:style w:type="character" w:styleId="982">
    <w:name w:val="Body text_"/>
    <w:next w:val="982"/>
    <w:link w:val="983"/>
    <w:uiPriority w:val="99"/>
    <w:rPr>
      <w:sz w:val="23"/>
      <w:shd w:val="clear" w:color="auto" w:fill="ffffff"/>
    </w:rPr>
  </w:style>
  <w:style w:type="paragraph" w:styleId="983">
    <w:name w:val="Основной текст2"/>
    <w:basedOn w:val="926"/>
    <w:next w:val="983"/>
    <w:link w:val="982"/>
    <w:uiPriority w:val="99"/>
    <w:pPr>
      <w:spacing w:before="240" w:after="3360" w:line="240" w:lineRule="atLeast"/>
      <w:shd w:val="clear" w:color="auto" w:fill="ffffff"/>
    </w:pPr>
    <w:rPr>
      <w:sz w:val="23"/>
      <w:szCs w:val="20"/>
      <w:lang w:val="en-US" w:eastAsia="en-US"/>
    </w:rPr>
  </w:style>
  <w:style w:type="character" w:styleId="984">
    <w:name w:val="Знак примечания"/>
    <w:next w:val="984"/>
    <w:link w:val="926"/>
    <w:rPr>
      <w:sz w:val="16"/>
      <w:szCs w:val="16"/>
    </w:rPr>
  </w:style>
  <w:style w:type="paragraph" w:styleId="985">
    <w:name w:val="Текст примечания"/>
    <w:basedOn w:val="926"/>
    <w:next w:val="985"/>
    <w:link w:val="986"/>
    <w:rPr>
      <w:sz w:val="20"/>
      <w:szCs w:val="20"/>
    </w:rPr>
  </w:style>
  <w:style w:type="character" w:styleId="986">
    <w:name w:val="Текст примечания Знак"/>
    <w:basedOn w:val="936"/>
    <w:next w:val="986"/>
    <w:link w:val="985"/>
  </w:style>
  <w:style w:type="paragraph" w:styleId="987">
    <w:name w:val="Тема примечания"/>
    <w:basedOn w:val="985"/>
    <w:next w:val="985"/>
    <w:link w:val="988"/>
    <w:rPr>
      <w:b/>
      <w:bCs/>
    </w:rPr>
  </w:style>
  <w:style w:type="character" w:styleId="988">
    <w:name w:val="Тема примечания Знак"/>
    <w:next w:val="988"/>
    <w:link w:val="987"/>
    <w:rPr>
      <w:b/>
      <w:bCs/>
    </w:rPr>
  </w:style>
  <w:style w:type="table" w:styleId="989">
    <w:name w:val="Сетка таблицы1"/>
    <w:basedOn w:val="937"/>
    <w:next w:val="947"/>
    <w:link w:val="926"/>
    <w:uiPriority w:val="3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90">
    <w:name w:val="Style1"/>
    <w:basedOn w:val="926"/>
    <w:next w:val="990"/>
    <w:link w:val="926"/>
    <w:qFormat/>
    <w:pPr>
      <w:jc w:val="both"/>
      <w:spacing w:line="276" w:lineRule="auto"/>
    </w:pPr>
    <w:rPr>
      <w:rFonts w:eastAsia="Calibri" w:cs="Times New Roman"/>
      <w:sz w:val="27"/>
      <w:lang w:eastAsia="en-US"/>
    </w:rPr>
  </w:style>
  <w:style w:type="character" w:styleId="991" w:default="1">
    <w:name w:val="Default Paragraph Font"/>
    <w:uiPriority w:val="1"/>
    <w:semiHidden/>
    <w:unhideWhenUsed/>
  </w:style>
  <w:style w:type="numbering" w:styleId="992" w:default="1">
    <w:name w:val="No List"/>
    <w:uiPriority w:val="99"/>
    <w:semiHidden/>
    <w:unhideWhenUsed/>
  </w:style>
  <w:style w:type="table" w:styleId="993" w:default="1">
    <w:name w:val="Normal Table"/>
    <w:uiPriority w:val="99"/>
    <w:semiHidden/>
    <w:unhideWhenUsed/>
    <w:tblPr/>
  </w:style>
  <w:style w:type="paragraph" w:styleId="994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7"/>
      <w:szCs w:val="27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jp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pn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Слободская Е.</dc:creator>
  <cp:lastModifiedBy>ma_gribkova</cp:lastModifiedBy>
  <cp:revision>33</cp:revision>
  <dcterms:created xsi:type="dcterms:W3CDTF">2025-06-06T06:16:00Z</dcterms:created>
  <dcterms:modified xsi:type="dcterms:W3CDTF">2026-10-23T07:12:34Z</dcterms:modified>
  <cp:version>983040</cp:version>
</cp:coreProperties>
</file>