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7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pacing w:val="3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053" cy="716661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74053" cy="716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20pt;height:56.43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70"/>
      </w:pPr>
      <w:r>
        <w:t xml:space="preserve">АДМИНИСТРАЦИЯ ЛЕНИНГРАДСКОЙ ОБЛАСТИ</w:t>
      </w:r>
      <w:r/>
    </w:p>
    <w:p>
      <w:pPr>
        <w:pStyle w:val="970"/>
        <w:rPr>
          <w:b/>
          <w:bCs/>
        </w:rPr>
      </w:pPr>
      <w:r>
        <w:rPr>
          <w:b/>
          <w:bCs/>
        </w:rPr>
        <w:t xml:space="preserve">КОМИТЕТ ПО СОХРАНЕНИЮ КУЛЬТУРНОГО НАСЛЕДИЯ ЛЕНИНГРАДСКОЙ ОБЛАСТИ</w:t>
      </w:r>
      <w:r>
        <w:rPr>
          <w:b/>
          <w:bCs/>
        </w:rPr>
      </w:r>
      <w:r>
        <w:rPr>
          <w:b/>
          <w:bCs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pacing w:val="80"/>
          <w:sz w:val="28"/>
          <w:szCs w:val="28"/>
          <w:lang w:eastAsia="ru-RU"/>
        </w:rPr>
      </w:r>
    </w:p>
    <w:p>
      <w:pPr>
        <w:pStyle w:val="971"/>
      </w:pPr>
      <w:r>
        <w:t xml:space="preserve">ПРИКАЗ</w:t>
      </w:r>
      <w:r/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«___»____________2026 г.                                                         №___________________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Санкт-Петербург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917"/>
        <w:ind w:right="-1"/>
        <w:jc w:val="center"/>
        <w:spacing w:line="240" w:lineRule="auto"/>
        <w:tabs>
          <w:tab w:val="left" w:pos="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 внесении изменений в приказ комитета по культуре Ленинградской области от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  <w:t xml:space="preserve"> 07 декабря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 2020 года № 01-03/20-332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 установлении границ территории                     и предмета охраны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объекта культурного наследия регионального значения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Памятник–танк, посвященный советским воинам, сражавшимся                                на киришской земле в годы Великой Отечественной войны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адресу: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Ленинградская область, Киришский муниципальный район, Киришское городское поселение,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г. Кириши, проспект Ленина,                                   сквер у памятника «Танк Т–34»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1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со статьями 3.1, 9.2, 20, 33 Федерального закона </w:t>
        <w:br w:type="textWrapping" w:clear="all"/>
        <w:t xml:space="preserve">от 25 июня 2002 года № 73-ФЗ «Об объектах культурного наследия (памятниках истории и культуры) народов Российск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ой Федерации», статьей 4 Областного закона Ленинградской области от 25 декабря 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и, расположенных на территории Ленинградской области», постановлением Правительства Ленинградской области от 21 декабря 2020 года № 839 «Об органах исполнительной власти Ленинградской области в сфере культуры и туризма», подпунктами 2.1.2, 2.3.7 Положения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от 24 декабря 2020 года № 850,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на основании сведений, представленных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осударственным казенным учреждением Ленинградской области «Дирекция по сохранению объектов культурного наследия»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01.10.2026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01-07-8485/2026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 в целях устранения технической ошибки описания местоположения границ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территории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объекта культурного наследия,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приказываю: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color w:val="auto"/>
          <w:sz w:val="28"/>
          <w:szCs w:val="28"/>
        </w:rPr>
      </w:pP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1. Внести изменения в приложение 1 к приказу комитета по культуре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от 07 декабря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2020 года № 01-03/20-332«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Об установлении границ территории и предмета охраны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объекта культурного наследия регионального 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Памятник–танк, посвященный советским воинам, сражавшимся                          на киришской земле в годы Великой Отечественной войны»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адресу: Ленинградская область, Киришский муниципальный район, Киришское городское поселение, г. Кириши, проспект Ленина, сквер у памятника «Танк Т–34</w:t>
      </w:r>
      <w:r>
        <w:rPr>
          <w:sz w:val="28"/>
          <w:szCs w:val="28"/>
        </w:rPr>
        <w:t xml:space="preserve">»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, изложив его в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lang w:eastAsia="ru-RU"/>
        </w:rPr>
        <w:t xml:space="preserve">редакции, согласно приложению к </w:t>
      </w:r>
      <w:r>
        <w:rPr>
          <w:rFonts w:ascii="Times New Roman" w:hAnsi="Times New Roman" w:eastAsia="Times New Roman"/>
          <w:color w:val="auto"/>
          <w:sz w:val="28"/>
          <w:szCs w:val="28"/>
          <w:lang w:eastAsia="ru-RU"/>
        </w:rPr>
        <w:t xml:space="preserve">настоящему приказу.</w:t>
      </w:r>
      <w:r>
        <w:rPr>
          <w:rFonts w:ascii="Times New Roman" w:hAnsi="Times New Roman" w:eastAsia="Times New Roman"/>
          <w:color w:val="auto"/>
          <w:sz w:val="28"/>
          <w:szCs w:val="28"/>
        </w:rPr>
      </w:r>
      <w:r>
        <w:rPr>
          <w:rFonts w:ascii="Times New Roman" w:hAnsi="Times New Roman" w:eastAsia="Times New Roman"/>
          <w:color w:val="auto"/>
          <w:sz w:val="28"/>
          <w:szCs w:val="28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 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внесение сведений об объекте культурного наследия регионального значения, указанном в п. 1 настоящего приказа, в единый государственный реестр объектов культурного наследия (памятников истории и культуры) народов Российской Федерации;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направление копии настоящего приказа в сроки, установленные действующим законодательством, в территориальный орган федерального органа исполнительной власти, уполномоченного Правитель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ством Российской Федерац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ии на осуществление государственного кадастрового учета, государственной регистрации прав, ведение Единого государственного реестра недвижимости                         и предоставление сведений, содержащихся в Едином государственном реестре недвижимости;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направл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ение письменного уведомления собственнику или иному законному владельцу объекта культурного наследия регионального значения, земельного участка в границах территории объекта культурного наследия регионального значения, указанного в п. 1 настоящего приказа.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3. Сектору делопроизв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4. Контроль за исполнением настоящего приказа оставляю за собой.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5. Настоящий приказ вступает в силу со дня его официального опубликования.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10"/>
        <w:gridCol w:w="521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0" w:type="dxa"/>
            <w:vAlign w:val="top"/>
            <w:textDirection w:val="lrTb"/>
            <w:noWrap w:val="false"/>
          </w:tcPr>
          <w:p>
            <w:pPr>
              <w:pStyle w:val="917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Заместитель председателя комитета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по сохранению культурного наследия 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Ленинградской области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11" w:type="dxa"/>
            <w:vAlign w:val="top"/>
            <w:textDirection w:val="lrTb"/>
            <w:noWrap w:val="false"/>
          </w:tcPr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  <w:p>
            <w:pPr>
              <w:pStyle w:val="917"/>
              <w:jc w:val="right"/>
              <w:spacing w:after="0" w:line="240" w:lineRule="auto"/>
              <w:widowControl w:val="off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 xml:space="preserve">Г.Е. Лазарева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917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ind w:left="4536"/>
        <w:jc w:val="center"/>
        <w:spacing w:after="0" w:line="240" w:lineRule="auto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Приложение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приказу комитета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сохранению культурного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наследия Ленинградской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 xml:space="preserve">«____»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2026 года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17"/>
        <w:contextualSpacing/>
        <w:ind w:left="4536"/>
        <w:jc w:val="center"/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 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975"/>
        <w:ind w:firstLine="0"/>
      </w:pPr>
      <w:r/>
      <w:r/>
    </w:p>
    <w:p>
      <w:pPr>
        <w:pStyle w:val="917"/>
        <w:contextualSpacing/>
        <w:jc w:val="center"/>
        <w:spacing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Границы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территории объекта культурного наследия регионального значения 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«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Памятник–танк, посвященный советским воинам, сражавшимся на киришской земле в годы Великой Отечественной войны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»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по адресу: 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Ленинградская область, Киришский муниципальный район, Киришское городское поселение, 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                      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г. Кириши, проспект Ленина, сквер у памятника «Танк Т–34»</w:t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pStyle w:val="917"/>
        <w:contextualSpacing/>
        <w:jc w:val="center"/>
        <w:spacing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62735" cy="4089064"/>
                <wp:effectExtent l="6350" t="6350" r="6350" b="6350"/>
                <wp:docPr id="2" name="_x0000_s11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260738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6462734" cy="4089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08.88pt;height:321.97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30"/>
          <w:szCs w:val="22"/>
        </w:rPr>
      </w:r>
      <w:r/>
    </w:p>
    <w:p>
      <w:pPr>
        <w:pStyle w:val="917"/>
        <w:contextualSpacing/>
        <w:tabs>
          <w:tab w:val="left" w:pos="3531" w:leader="none"/>
          <w:tab w:val="center" w:pos="5103" w:leader="none"/>
        </w:tabs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pStyle w:val="917"/>
        <w:contextualSpacing/>
        <w:jc w:val="center"/>
        <w:tabs>
          <w:tab w:val="left" w:pos="3531" w:leader="none"/>
          <w:tab w:val="center" w:pos="510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Условные обозначения: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contextualSpacing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eastAsia="Times New Roman" w:cs="Times New Roman"/>
          <w:position w:val="-10"/>
          <w:sz w:val="24"/>
          <w:szCs w:val="24"/>
          <w:lang w:eastAsia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33450" cy="230429"/>
                <wp:effectExtent l="0" t="0" r="0" b="0"/>
                <wp:docPr id="3" name="_x0000_i11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976668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933449" cy="230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3.50pt;height:18.14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- граница территории объекта культурного наследия регионального значения</w:t>
      </w:r>
      <w:r>
        <w:rPr>
          <w:rFonts w:ascii="Times New Roman" w:hAnsi="Times New Roman" w:cs="Times New Roman"/>
          <w:szCs w:val="20"/>
        </w:rPr>
      </w:r>
      <w:r>
        <w:rPr>
          <w:rFonts w:ascii="Times New Roman" w:hAnsi="Times New Roman" w:cs="Times New Roman"/>
          <w:szCs w:val="20"/>
        </w:rPr>
      </w:r>
    </w:p>
    <w:p>
      <w:pPr>
        <w:contextualSpacing/>
        <w:tabs>
          <w:tab w:val="left" w:pos="3531" w:leader="none"/>
          <w:tab w:val="center" w:pos="510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709" w:right="-1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contextualSpacing/>
        <w:ind w:left="709" w:right="-1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contextualSpacing/>
        <w:ind w:left="709" w:right="-1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917"/>
        <w:contextualSpacing/>
        <w:ind w:right="-1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lang w:eastAsia="en-US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917"/>
        <w:contextualSpacing/>
        <w:ind w:right="-1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lang w:eastAsia="en-US"/>
        </w:rPr>
        <w:t xml:space="preserve">Карта (схема) границ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r>
    </w:p>
    <w:p>
      <w:pPr>
        <w:contextualSpacing/>
        <w:ind w:right="-1"/>
        <w:jc w:val="center"/>
        <w:spacing w:after="0" w:afterAutospacing="0" w:line="240" w:lineRule="auto"/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</w:rPr>
      </w:r>
    </w:p>
    <w:p>
      <w:pPr>
        <w:contextualSpacing/>
        <w:ind w:right="-1"/>
        <w:jc w:val="center"/>
        <w:spacing w:after="0" w:afterAutospacing="0" w:line="240" w:lineRule="auto"/>
        <w:rPr>
          <w:rFonts w:ascii="Times New Roman" w:hAnsi="Times New Roman" w:eastAsia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  <w:lang w:eastAsia="en-US"/>
        </w:rPr>
      </w:r>
      <w:r>
        <w:rPr>
          <w:rFonts w:eastAsia="Calibri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52140" cy="3047365"/>
                <wp:effectExtent l="0" t="0" r="0" b="0"/>
                <wp:docPr id="4" name="_x0000_s11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6181447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3152139" cy="30473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48.20pt;height:239.95pt;mso-wrap-distance-left:0.00pt;mso-wrap-distance-top:0.00pt;mso-wrap-distance-right:0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/>
          <w:b/>
          <w:bCs/>
          <w:sz w:val="27"/>
          <w:szCs w:val="27"/>
        </w:rPr>
      </w:r>
      <w:r>
        <w:rPr>
          <w:rFonts w:ascii="Times New Roman" w:hAnsi="Times New Roman" w:eastAsia="Times New Roman"/>
          <w:b/>
          <w:bCs/>
          <w:sz w:val="27"/>
          <w:szCs w:val="27"/>
        </w:rPr>
      </w:r>
    </w:p>
    <w:p>
      <w:pPr>
        <w:pStyle w:val="917"/>
        <w:contextualSpacing/>
        <w:ind w:right="-1"/>
      </w:pPr>
      <w:r>
        <w:rPr>
          <w:rFonts w:eastAsia="Calibri"/>
          <w:b/>
          <w:sz w:val="27"/>
          <w:szCs w:val="27"/>
          <w:lang w:eastAsia="en-US"/>
        </w:rPr>
      </w:r>
      <w:r/>
    </w:p>
    <w:p>
      <w:pPr>
        <w:contextualSpacing/>
        <w:ind w:right="-1"/>
        <w:jc w:val="center"/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</w:rPr>
      </w:r>
    </w:p>
    <w:p>
      <w:pPr>
        <w:contextualSpacing/>
        <w:ind w:right="-1"/>
        <w:jc w:val="center"/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r>
    </w:p>
    <w:p>
      <w:pPr>
        <w:pStyle w:val="917"/>
        <w:contextualSpacing/>
        <w:ind w:right="-1"/>
        <w:jc w:val="center"/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sz w:val="27"/>
          <w:szCs w:val="27"/>
          <w:lang w:eastAsia="en-US"/>
        </w:rPr>
        <w:t xml:space="preserve">Перечень координат поворотных (характерных) точек границ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7"/>
          <w:szCs w:val="27"/>
          <w:highlight w:val="none"/>
          <w:lang w:eastAsia="en-US"/>
        </w:rPr>
      </w:r>
    </w:p>
    <w:p>
      <w:pPr>
        <w:pStyle w:val="917"/>
        <w:contextualSpacing/>
        <w:ind w:right="-1"/>
        <w:rPr>
          <w:b/>
          <w:sz w:val="16"/>
          <w:szCs w:val="28"/>
        </w:rPr>
      </w:pPr>
      <w:r>
        <w:rPr>
          <w:b/>
          <w:sz w:val="16"/>
          <w:szCs w:val="28"/>
        </w:rPr>
      </w:r>
      <w:r>
        <w:rPr>
          <w:b/>
          <w:sz w:val="16"/>
          <w:szCs w:val="28"/>
        </w:rPr>
      </w:r>
      <w:r>
        <w:rPr>
          <w:b/>
          <w:sz w:val="16"/>
          <w:szCs w:val="28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>
        <w:tblPrEx/>
        <w:trPr/>
        <w:tc>
          <w:tcPr>
            <w:tcW w:w="3473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Обозначение (номер) характерной точки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Y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383161.47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2310600.54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383149.18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2310621.73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383135.77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2310613.96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473" w:type="dxa"/>
            <w:vAlign w:val="top"/>
            <w:textDirection w:val="lrTb"/>
            <w:noWrap w:val="false"/>
          </w:tcPr>
          <w:p>
            <w:pPr>
              <w:pStyle w:val="917"/>
              <w:contextualSpacing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en-US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383148.06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2310592.76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17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Определение географических координат характерных точек границы территории объекта культурного наследия выполне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но в местной системе координат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МСК-47 Ленинградская область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7"/>
        <w:contextualSpacing/>
        <w:ind w:right="-1"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Режим использования территории объекта культурного наследия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регионального значения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Памятник–танк, посвященный советским воинам, сражавшимся на киришской земле в годы Великой Отечественной войны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адресу: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Ленинградская область, Киришский муниципальный район, Киришское городское поселение,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г. Кириши, проспект Ленина,                                   сквер у памятника «Танк Т–34»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17"/>
        <w:contextualSpacing/>
        <w:ind w:right="-1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объекта культурного наследия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разрешается: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проведение работ по сохранению 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(меры, направленные на обеспечение физическ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ой сохранности и сохранение историко-культурной ценности объекта культурного наследия, предусматривающие консервацию, ремонт, реставрацию, включающие в себя научно-исследовательские, изыскательские, проектные и производственные работы, научное руководство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проведением работ по сохранению объекта культурного наследия, технический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авторский надзор за проведением этих работ);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реконструкция, ремонт инженерных коммуникаций, благоустройство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озеленение, установка малых архитектурных форм, иная хозяйственная деятельность (по согласованию с региональным органом охраны объектов культурного наследия), не проти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воречащая требованиям обеспечения сохранности объекта культурного наследия и позволяющая обеспечить функционирование объекта культурного наследия в современных условиях, обеспечивающая недопущение ухудшения состояния территории объекта культурного наследия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объекта культурного наследия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запрещается: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строительство объектов капитального строительства и увеличение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объемно-пространственных характеристик существующих на территории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объектов капитального строительства;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 земляных, строительных, мелиоративных работ и иных работ,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 исключением работ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сохранению 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его отдельных элементов, сохранению историко-градостроительной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природной среды объекта культурного наследия;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установка рекламных конструкций, распространение наружной рекламы;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осуществлен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ие любых видов деятельности, ухудшающих экологические условия и гидрологический режим на территории объекта культурного наследия, создающих вибрационные нагрузки динамическим воздействием на грунты в зоне их взаимодействия с объектами культурного наследия.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136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Verdana">
    <w:panose1 w:val="020B0604030504040204"/>
  </w:font>
  <w:font w:name="Arial">
    <w:panose1 w:val="020B0604020202020204"/>
  </w:font>
  <w:font w:name="Courier New">
    <w:panose1 w:val="02070309020205020404"/>
  </w:font>
  <w:font w:name="Cambria">
    <w:panose1 w:val="0204080305040603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  <w:jc w:val="center"/>
    </w:pPr>
    <w:r/>
    <w:r/>
  </w:p>
  <w:p>
    <w:pPr>
      <w:pStyle w:val="9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3"/>
        <w:position w:val="0"/>
        <w:sz w:val="26"/>
        <w:szCs w:val="26"/>
        <w:u w:val="none"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position w:val="0"/>
        <w:sz w:val="26"/>
        <w:szCs w:val="26"/>
        <w:u w:val="none"/>
        <w:lang w:val="ru-RU"/>
      </w:rPr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5">
    <w:multiLevelType w:val="hybridMultilevel"/>
    <w:lvl w:ilvl="0">
      <w:start w:val="25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65" w:hanging="1125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4"/>
      <w:numFmt w:val="decimal"/>
      <w:isLgl w:val="false"/>
      <w:suff w:val="tab"/>
      <w:lvlText w:val="%1.%2."/>
      <w:lvlJc w:val="left"/>
      <w:pPr>
        <w:ind w:left="199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45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60" w:hanging="216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99" w:hanging="9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5" w:hanging="1005"/>
        <w:tabs>
          <w:tab w:val="num" w:pos="1715" w:leader="none"/>
        </w:tabs>
      </w:pPr>
      <w:rPr>
        <w:rFonts w:ascii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832" w:hanging="705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70" w:hanging="1470"/>
      </w:pPr>
    </w:lvl>
    <w:lvl w:ilvl="1">
      <w:start w:val="1"/>
      <w:numFmt w:val="decimal"/>
      <w:isLgl w:val="false"/>
      <w:suff w:val="tab"/>
      <w:lvlText w:val="%1.%2."/>
      <w:lvlJc w:val="left"/>
      <w:pPr>
        <w:ind w:left="2190" w:hanging="147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910" w:hanging="147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630" w:hanging="147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350" w:hanging="147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70" w:hanging="147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6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75" w:hanging="375"/>
      </w:pPr>
    </w:lvl>
    <w:lvl w:ilvl="1">
      <w:start w:val="3"/>
      <w:numFmt w:val="decimal"/>
      <w:isLgl w:val="false"/>
      <w:suff w:val="tab"/>
      <w:lvlText w:val="%1.%2"/>
      <w:lvlJc w:val="left"/>
      <w:pPr>
        <w:ind w:left="1650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327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905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61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781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909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725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360" w:hanging="216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680"/>
        <w:tabs>
          <w:tab w:val="num" w:pos="6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54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12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19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27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34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41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48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55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630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1"/>
  </w:num>
  <w:num w:numId="3">
    <w:abstractNumId w:val="2"/>
  </w:num>
  <w:num w:numId="4">
    <w:abstractNumId w:val="11"/>
  </w:num>
  <w:num w:numId="5">
    <w:abstractNumId w:val="22"/>
  </w:num>
  <w:num w:numId="6">
    <w:abstractNumId w:val="5"/>
  </w:num>
  <w:num w:numId="7">
    <w:abstractNumId w:val="6"/>
  </w:num>
  <w:num w:numId="8">
    <w:abstractNumId w:val="33"/>
  </w:num>
  <w:num w:numId="9">
    <w:abstractNumId w:val="14"/>
  </w:num>
  <w:num w:numId="10">
    <w:abstractNumId w:val="20"/>
  </w:num>
  <w:num w:numId="11">
    <w:abstractNumId w:val="30"/>
  </w:num>
  <w:num w:numId="12">
    <w:abstractNumId w:val="32"/>
  </w:num>
  <w:num w:numId="13">
    <w:abstractNumId w:val="12"/>
  </w:num>
  <w:num w:numId="14">
    <w:abstractNumId w:val="24"/>
  </w:num>
  <w:num w:numId="15">
    <w:abstractNumId w:val="27"/>
  </w:num>
  <w:num w:numId="16">
    <w:abstractNumId w:val="0"/>
  </w:num>
  <w:num w:numId="17">
    <w:abstractNumId w:val="21"/>
  </w:num>
  <w:num w:numId="18">
    <w:abstractNumId w:val="28"/>
  </w:num>
  <w:num w:numId="19">
    <w:abstractNumId w:val="2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8"/>
  </w:num>
  <w:num w:numId="23">
    <w:abstractNumId w:val="9"/>
  </w:num>
  <w:num w:numId="24">
    <w:abstractNumId w:val="10"/>
  </w:num>
  <w:num w:numId="25">
    <w:abstractNumId w:val="17"/>
  </w:num>
  <w:num w:numId="26">
    <w:abstractNumId w:val="23"/>
  </w:num>
  <w:num w:numId="27">
    <w:abstractNumId w:val="15"/>
  </w:num>
  <w:num w:numId="28">
    <w:abstractNumId w:val="13"/>
  </w:num>
  <w:num w:numId="29">
    <w:abstractNumId w:val="1"/>
  </w:num>
  <w:num w:numId="30">
    <w:abstractNumId w:val="4"/>
  </w:num>
  <w:num w:numId="31">
    <w:abstractNumId w:val="19"/>
  </w:num>
  <w:num w:numId="32">
    <w:abstractNumId w:val="18"/>
  </w:num>
  <w:num w:numId="33">
    <w:abstractNumId w:val="7"/>
  </w:num>
  <w:num w:numId="34">
    <w:abstractNumId w:val="29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9">
    <w:name w:val="Heading 1"/>
    <w:basedOn w:val="917"/>
    <w:next w:val="917"/>
    <w:link w:val="74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40">
    <w:name w:val="Heading 1 Char"/>
    <w:link w:val="73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41">
    <w:name w:val="Heading 2"/>
    <w:basedOn w:val="917"/>
    <w:next w:val="917"/>
    <w:link w:val="74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42">
    <w:name w:val="Heading 2 Char"/>
    <w:link w:val="741"/>
    <w:uiPriority w:val="9"/>
    <w:rPr>
      <w:rFonts w:ascii="Liberation Sans" w:hAnsi="Liberation Sans" w:eastAsia="Liberation Sans" w:cs="Liberation Sans"/>
      <w:sz w:val="34"/>
    </w:rPr>
  </w:style>
  <w:style w:type="paragraph" w:styleId="743">
    <w:name w:val="Heading 3"/>
    <w:basedOn w:val="917"/>
    <w:next w:val="917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44">
    <w:name w:val="Heading 3 Char"/>
    <w:link w:val="74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45">
    <w:name w:val="Heading 4"/>
    <w:basedOn w:val="917"/>
    <w:next w:val="917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6">
    <w:name w:val="Heading 4 Char"/>
    <w:link w:val="74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47">
    <w:name w:val="Heading 5"/>
    <w:basedOn w:val="917"/>
    <w:next w:val="917"/>
    <w:link w:val="74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8">
    <w:name w:val="Heading 5 Char"/>
    <w:link w:val="74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49">
    <w:name w:val="Heading 6"/>
    <w:basedOn w:val="917"/>
    <w:next w:val="917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0">
    <w:name w:val="Heading 6 Char"/>
    <w:link w:val="74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51">
    <w:name w:val="Heading 7"/>
    <w:basedOn w:val="917"/>
    <w:next w:val="917"/>
    <w:link w:val="75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2">
    <w:name w:val="Heading 7 Char"/>
    <w:link w:val="75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53">
    <w:name w:val="Heading 8"/>
    <w:basedOn w:val="917"/>
    <w:next w:val="917"/>
    <w:link w:val="75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4">
    <w:name w:val="Heading 8 Char"/>
    <w:link w:val="75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55">
    <w:name w:val="Heading 9"/>
    <w:basedOn w:val="917"/>
    <w:next w:val="917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56">
    <w:name w:val="Heading 9 Char"/>
    <w:link w:val="75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7">
    <w:name w:val="List Paragraph"/>
    <w:basedOn w:val="917"/>
    <w:uiPriority w:val="34"/>
    <w:qFormat/>
    <w:pPr>
      <w:contextualSpacing/>
      <w:ind w:left="720"/>
    </w:pPr>
  </w:style>
  <w:style w:type="paragraph" w:styleId="758">
    <w:name w:val="No Spacing"/>
    <w:uiPriority w:val="1"/>
    <w:qFormat/>
    <w:pPr>
      <w:spacing w:before="0" w:after="0" w:line="240" w:lineRule="auto"/>
    </w:pPr>
  </w:style>
  <w:style w:type="paragraph" w:styleId="759">
    <w:name w:val="Title"/>
    <w:basedOn w:val="917"/>
    <w:next w:val="917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>
    <w:name w:val="Title Char"/>
    <w:link w:val="759"/>
    <w:uiPriority w:val="10"/>
    <w:rPr>
      <w:sz w:val="48"/>
      <w:szCs w:val="48"/>
    </w:rPr>
  </w:style>
  <w:style w:type="paragraph" w:styleId="761">
    <w:name w:val="Subtitle"/>
    <w:basedOn w:val="917"/>
    <w:next w:val="917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>
    <w:name w:val="Subtitle Char"/>
    <w:link w:val="761"/>
    <w:uiPriority w:val="11"/>
    <w:rPr>
      <w:sz w:val="24"/>
      <w:szCs w:val="24"/>
    </w:rPr>
  </w:style>
  <w:style w:type="paragraph" w:styleId="763">
    <w:name w:val="Quote"/>
    <w:basedOn w:val="917"/>
    <w:next w:val="917"/>
    <w:link w:val="764"/>
    <w:uiPriority w:val="29"/>
    <w:qFormat/>
    <w:pPr>
      <w:ind w:left="720" w:right="720"/>
    </w:pPr>
    <w:rPr>
      <w:i/>
    </w:rPr>
  </w:style>
  <w:style w:type="character" w:styleId="764">
    <w:name w:val="Quote Char"/>
    <w:link w:val="763"/>
    <w:uiPriority w:val="29"/>
    <w:rPr>
      <w:i/>
    </w:rPr>
  </w:style>
  <w:style w:type="paragraph" w:styleId="765">
    <w:name w:val="Intense Quote"/>
    <w:basedOn w:val="917"/>
    <w:next w:val="917"/>
    <w:link w:val="76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>
    <w:name w:val="Intense Quote Char"/>
    <w:link w:val="765"/>
    <w:uiPriority w:val="30"/>
    <w:rPr>
      <w:i/>
    </w:rPr>
  </w:style>
  <w:style w:type="paragraph" w:styleId="767">
    <w:name w:val="Header"/>
    <w:basedOn w:val="917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Header Char"/>
    <w:link w:val="767"/>
    <w:uiPriority w:val="99"/>
  </w:style>
  <w:style w:type="paragraph" w:styleId="769">
    <w:name w:val="Footer"/>
    <w:basedOn w:val="917"/>
    <w:link w:val="7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>
    <w:name w:val="Footer Char"/>
    <w:link w:val="769"/>
    <w:uiPriority w:val="99"/>
  </w:style>
  <w:style w:type="paragraph" w:styleId="771">
    <w:name w:val="Caption"/>
    <w:basedOn w:val="917"/>
    <w:next w:val="917"/>
    <w:link w:val="7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2">
    <w:name w:val="Caption Char"/>
    <w:link w:val="771"/>
    <w:uiPriority w:val="35"/>
    <w:rPr>
      <w:b/>
      <w:bCs/>
      <w:color w:val="4f81bd" w:themeColor="accent1"/>
      <w:sz w:val="18"/>
      <w:szCs w:val="18"/>
    </w:rPr>
  </w:style>
  <w:style w:type="table" w:styleId="77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1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1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1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1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5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7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7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7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7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7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7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917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>
    <w:name w:val="Footnote Text Char"/>
    <w:link w:val="900"/>
    <w:uiPriority w:val="99"/>
    <w:rPr>
      <w:sz w:val="18"/>
    </w:rPr>
  </w:style>
  <w:style w:type="character" w:styleId="902">
    <w:name w:val="footnote reference"/>
    <w:uiPriority w:val="99"/>
    <w:unhideWhenUsed/>
    <w:rPr>
      <w:vertAlign w:val="superscript"/>
    </w:rPr>
  </w:style>
  <w:style w:type="paragraph" w:styleId="903">
    <w:name w:val="endnote text"/>
    <w:basedOn w:val="917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uiPriority w:val="99"/>
    <w:semiHidden/>
    <w:unhideWhenUsed/>
    <w:rPr>
      <w:vertAlign w:val="superscript"/>
    </w:rPr>
  </w:style>
  <w:style w:type="paragraph" w:styleId="906">
    <w:name w:val="toc 1"/>
    <w:basedOn w:val="917"/>
    <w:next w:val="917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7"/>
    <w:next w:val="917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7"/>
    <w:next w:val="917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7"/>
    <w:next w:val="917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7"/>
    <w:next w:val="917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7"/>
    <w:next w:val="917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7"/>
    <w:next w:val="917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7"/>
    <w:next w:val="917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7"/>
    <w:next w:val="917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917"/>
    <w:next w:val="917"/>
    <w:uiPriority w:val="99"/>
    <w:unhideWhenUsed/>
    <w:pPr>
      <w:spacing w:after="0" w:afterAutospacing="0"/>
    </w:pPr>
  </w:style>
  <w:style w:type="paragraph" w:styleId="917" w:default="1">
    <w:name w:val="Normal"/>
    <w:next w:val="917"/>
    <w:link w:val="917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918">
    <w:name w:val="Заголовок 1"/>
    <w:basedOn w:val="917"/>
    <w:next w:val="917"/>
    <w:link w:val="923"/>
    <w:qFormat/>
    <w:pPr>
      <w:jc w:val="center"/>
      <w:keepNext/>
      <w:spacing w:after="0" w:line="360" w:lineRule="auto"/>
      <w:outlineLvl w:val="0"/>
    </w:pPr>
    <w:rPr>
      <w:rFonts w:ascii="Tahoma" w:hAnsi="Tahoma" w:eastAsia="Times New Roman" w:cs="Times New Roman"/>
      <w:b/>
      <w:sz w:val="28"/>
      <w:szCs w:val="20"/>
      <w:lang w:val="en-US" w:eastAsia="en-US"/>
    </w:rPr>
  </w:style>
  <w:style w:type="paragraph" w:styleId="919">
    <w:name w:val="Заголовок 2"/>
    <w:basedOn w:val="917"/>
    <w:next w:val="917"/>
    <w:link w:val="924"/>
    <w:semiHidden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920">
    <w:name w:val="Основной шрифт абзаца"/>
    <w:next w:val="920"/>
    <w:link w:val="917"/>
    <w:uiPriority w:val="1"/>
    <w:semiHidden/>
    <w:unhideWhenUsed/>
  </w:style>
  <w:style w:type="table" w:styleId="921">
    <w:name w:val="Обычная таблица"/>
    <w:next w:val="921"/>
    <w:link w:val="917"/>
    <w:uiPriority w:val="99"/>
    <w:semiHidden/>
    <w:unhideWhenUsed/>
    <w:tblPr/>
  </w:style>
  <w:style w:type="numbering" w:styleId="922">
    <w:name w:val="Нет списка"/>
    <w:next w:val="922"/>
    <w:link w:val="917"/>
    <w:uiPriority w:val="99"/>
    <w:semiHidden/>
    <w:unhideWhenUsed/>
  </w:style>
  <w:style w:type="character" w:styleId="923">
    <w:name w:val="Заголовок 1 Знак"/>
    <w:next w:val="923"/>
    <w:link w:val="918"/>
    <w:rPr>
      <w:rFonts w:ascii="Tahoma" w:hAnsi="Tahoma" w:eastAsia="Times New Roman" w:cs="Times New Roman"/>
      <w:b/>
      <w:sz w:val="28"/>
      <w:szCs w:val="20"/>
      <w:lang w:val="en-US" w:eastAsia="en-US"/>
    </w:rPr>
  </w:style>
  <w:style w:type="character" w:styleId="924">
    <w:name w:val="Заголовок 2 Знак"/>
    <w:next w:val="924"/>
    <w:link w:val="919"/>
    <w:semiHidden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numbering" w:styleId="925">
    <w:name w:val="Нет списка1"/>
    <w:next w:val="922"/>
    <w:link w:val="917"/>
    <w:semiHidden/>
  </w:style>
  <w:style w:type="character" w:styleId="926">
    <w:name w:val="Основной текст_"/>
    <w:next w:val="926"/>
    <w:link w:val="928"/>
    <w:rPr>
      <w:spacing w:val="1"/>
      <w:sz w:val="27"/>
      <w:szCs w:val="27"/>
      <w:shd w:val="clear" w:color="auto" w:fill="ffffff"/>
    </w:rPr>
  </w:style>
  <w:style w:type="character" w:styleId="927">
    <w:name w:val="Основной текст + 13 pt"/>
    <w:next w:val="927"/>
    <w:link w:val="917"/>
    <w:rPr>
      <w:rFonts w:ascii="Times New Roman" w:hAnsi="Times New Roman" w:eastAsia="Times New Roman" w:cs="Times New Roman"/>
      <w:color w:val="000000"/>
      <w:spacing w:val="1"/>
      <w:position w:val="0"/>
      <w:sz w:val="26"/>
      <w:szCs w:val="26"/>
      <w:u w:val="none"/>
      <w:lang w:val="ru-RU"/>
    </w:rPr>
  </w:style>
  <w:style w:type="paragraph" w:styleId="928">
    <w:name w:val="Основной текст1"/>
    <w:basedOn w:val="917"/>
    <w:next w:val="928"/>
    <w:link w:val="926"/>
    <w:pPr>
      <w:jc w:val="both"/>
      <w:spacing w:after="720" w:line="0" w:lineRule="atLeast"/>
      <w:shd w:val="clear" w:color="auto" w:fill="ffffff"/>
      <w:widowControl w:val="off"/>
    </w:pPr>
    <w:rPr>
      <w:spacing w:val="1"/>
      <w:sz w:val="27"/>
      <w:szCs w:val="27"/>
    </w:rPr>
  </w:style>
  <w:style w:type="character" w:styleId="929">
    <w:name w:val="Основной текст + 11.5 pt#Интервал 0 pt"/>
    <w:next w:val="929"/>
    <w:link w:val="917"/>
    <w:rPr>
      <w:rFonts w:ascii="Times New Roman" w:hAnsi="Times New Roman" w:eastAsia="Times New Roman" w:cs="Times New Roman"/>
      <w:color w:val="000000"/>
      <w:spacing w:val="4"/>
      <w:position w:val="0"/>
      <w:sz w:val="23"/>
      <w:szCs w:val="23"/>
      <w:u w:val="none"/>
      <w:lang w:val="ru-RU"/>
    </w:rPr>
  </w:style>
  <w:style w:type="paragraph" w:styleId="930">
    <w:name w:val="Основной текст с отступом"/>
    <w:basedOn w:val="917"/>
    <w:next w:val="930"/>
    <w:link w:val="931"/>
    <w:pPr>
      <w:ind w:left="-284"/>
      <w:jc w:val="center"/>
      <w:spacing w:before="60" w:after="0" w:line="240" w:lineRule="auto"/>
    </w:pPr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character" w:styleId="931">
    <w:name w:val="Основной текст с отступом Знак"/>
    <w:next w:val="931"/>
    <w:link w:val="930"/>
    <w:rPr>
      <w:rFonts w:ascii="Times New Roman" w:hAnsi="Times New Roman" w:eastAsia="Times New Roman" w:cs="Times New Roman"/>
      <w:b/>
      <w:spacing w:val="30"/>
      <w:sz w:val="24"/>
      <w:szCs w:val="20"/>
      <w:lang w:val="en-US" w:eastAsia="en-US"/>
    </w:rPr>
  </w:style>
  <w:style w:type="table" w:styleId="932">
    <w:name w:val="Сетка таблицы"/>
    <w:basedOn w:val="921"/>
    <w:next w:val="932"/>
    <w:link w:val="917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933">
    <w:name w:val="Верхний колонтитул"/>
    <w:basedOn w:val="917"/>
    <w:next w:val="933"/>
    <w:link w:val="93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34">
    <w:name w:val="Верхний колонтитул Знак"/>
    <w:next w:val="934"/>
    <w:link w:val="933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35">
    <w:name w:val="Нижний колонтитул"/>
    <w:basedOn w:val="917"/>
    <w:next w:val="935"/>
    <w:link w:val="9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36">
    <w:name w:val="Нижний колонтитул Знак"/>
    <w:next w:val="936"/>
    <w:link w:val="935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37">
    <w:name w:val="Текст выноски"/>
    <w:basedOn w:val="917"/>
    <w:next w:val="937"/>
    <w:link w:val="938"/>
    <w:semiHidden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38">
    <w:name w:val="Текст выноски Знак"/>
    <w:next w:val="938"/>
    <w:link w:val="937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39">
    <w:name w:val="Название"/>
    <w:basedOn w:val="917"/>
    <w:next w:val="939"/>
    <w:link w:val="940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940">
    <w:name w:val="Название Знак"/>
    <w:next w:val="940"/>
    <w:link w:val="939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941">
    <w:name w:val="Основной текст"/>
    <w:basedOn w:val="917"/>
    <w:next w:val="941"/>
    <w:link w:val="942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character" w:styleId="942">
    <w:name w:val="Основной текст Знак"/>
    <w:next w:val="942"/>
    <w:link w:val="941"/>
    <w:rPr>
      <w:rFonts w:ascii="Times New Roman" w:hAnsi="Times New Roman" w:eastAsia="Times New Roman" w:cs="Times New Roman"/>
      <w:sz w:val="28"/>
      <w:szCs w:val="24"/>
      <w:lang w:val="en-US" w:eastAsia="en-US"/>
    </w:rPr>
  </w:style>
  <w:style w:type="paragraph" w:styleId="943">
    <w:name w:val="ConsPlusNonformat"/>
    <w:next w:val="943"/>
    <w:link w:val="917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44">
    <w:name w:val="Номер страницы"/>
    <w:next w:val="944"/>
    <w:link w:val="917"/>
  </w:style>
  <w:style w:type="paragraph" w:styleId="945">
    <w:name w:val="ConsPlusNormal"/>
    <w:next w:val="945"/>
    <w:link w:val="917"/>
    <w:pPr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46">
    <w:name w:val="Обычный (веб)"/>
    <w:basedOn w:val="917"/>
    <w:next w:val="946"/>
    <w:link w:val="917"/>
    <w:uiPriority w:val="99"/>
    <w:pPr>
      <w:spacing w:before="100" w:beforeAutospacing="1" w:after="100" w:afterAutospacing="1" w:line="240" w:lineRule="auto"/>
    </w:pPr>
    <w:rPr>
      <w:rFonts w:ascii="Verdana" w:hAnsi="Verdana" w:eastAsia="Times New Roman" w:cs="Times New Roman"/>
      <w:color w:val="333366"/>
      <w:sz w:val="12"/>
      <w:szCs w:val="12"/>
      <w:lang w:eastAsia="ru-RU"/>
    </w:rPr>
  </w:style>
  <w:style w:type="character" w:styleId="947">
    <w:name w:val="Строгий"/>
    <w:next w:val="947"/>
    <w:link w:val="917"/>
    <w:uiPriority w:val="22"/>
    <w:qFormat/>
    <w:rPr>
      <w:b/>
      <w:bCs/>
    </w:rPr>
  </w:style>
  <w:style w:type="paragraph" w:styleId="948">
    <w:name w:val="consplusnormal0"/>
    <w:basedOn w:val="917"/>
    <w:next w:val="948"/>
    <w:link w:val="917"/>
    <w:pPr>
      <w:ind w:firstLine="120"/>
      <w:spacing w:before="100" w:after="100" w:line="240" w:lineRule="auto"/>
    </w:pPr>
    <w:rPr>
      <w:rFonts w:ascii="Verdana" w:hAnsi="Verdana" w:eastAsia="Times New Roman" w:cs="Times New Roman"/>
      <w:sz w:val="24"/>
      <w:szCs w:val="24"/>
      <w:lang w:eastAsia="ru-RU"/>
    </w:rPr>
  </w:style>
  <w:style w:type="paragraph" w:styleId="949">
    <w:name w:val="Текст сноски"/>
    <w:basedOn w:val="917"/>
    <w:next w:val="949"/>
    <w:link w:val="950"/>
    <w:uiPriority w:val="99"/>
    <w:unhideWhenUsed/>
    <w:pPr>
      <w:ind w:firstLine="720"/>
      <w:jc w:val="both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950">
    <w:name w:val="Текст сноски Знак"/>
    <w:next w:val="950"/>
    <w:link w:val="949"/>
    <w:uiPriority w:val="99"/>
    <w:rPr>
      <w:rFonts w:ascii="Arial" w:hAnsi="Arial" w:eastAsia="Times New Roman" w:cs="Times New Roman"/>
      <w:sz w:val="20"/>
      <w:szCs w:val="20"/>
      <w:lang w:val="en-US" w:eastAsia="en-US"/>
    </w:rPr>
  </w:style>
  <w:style w:type="character" w:styleId="951">
    <w:name w:val="Знак сноски"/>
    <w:next w:val="951"/>
    <w:link w:val="917"/>
    <w:uiPriority w:val="99"/>
    <w:unhideWhenUsed/>
    <w:rPr>
      <w:rFonts w:cs="Times New Roman"/>
      <w:vertAlign w:val="superscript"/>
    </w:rPr>
  </w:style>
  <w:style w:type="character" w:styleId="952">
    <w:name w:val="Знак примечания"/>
    <w:next w:val="952"/>
    <w:link w:val="917"/>
    <w:rPr>
      <w:sz w:val="16"/>
      <w:szCs w:val="16"/>
    </w:rPr>
  </w:style>
  <w:style w:type="paragraph" w:styleId="953">
    <w:name w:val="Текст примечания"/>
    <w:basedOn w:val="917"/>
    <w:next w:val="953"/>
    <w:link w:val="95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54">
    <w:name w:val="Текст примечания Знак"/>
    <w:next w:val="954"/>
    <w:link w:val="953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55">
    <w:name w:val="Тема примечания"/>
    <w:basedOn w:val="953"/>
    <w:next w:val="953"/>
    <w:link w:val="956"/>
    <w:rPr>
      <w:b/>
      <w:bCs/>
      <w:lang w:val="en-US" w:eastAsia="en-US"/>
    </w:rPr>
  </w:style>
  <w:style w:type="character" w:styleId="956">
    <w:name w:val="Тема примечания Знак"/>
    <w:next w:val="956"/>
    <w:link w:val="955"/>
    <w:rPr>
      <w:rFonts w:ascii="Times New Roman" w:hAnsi="Times New Roman" w:eastAsia="Times New Roman" w:cs="Times New Roman"/>
      <w:b/>
      <w:bCs/>
      <w:sz w:val="20"/>
      <w:szCs w:val="20"/>
      <w:lang w:val="en-US" w:eastAsia="en-US"/>
    </w:rPr>
  </w:style>
  <w:style w:type="character" w:styleId="957">
    <w:name w:val="Гиперссылка"/>
    <w:next w:val="957"/>
    <w:link w:val="917"/>
    <w:rPr>
      <w:color w:val="0000ff"/>
      <w:u w:val="single"/>
    </w:rPr>
  </w:style>
  <w:style w:type="paragraph" w:styleId="958">
    <w:name w:val="Абзац списка"/>
    <w:basedOn w:val="917"/>
    <w:next w:val="958"/>
    <w:link w:val="917"/>
    <w:uiPriority w:val="34"/>
    <w:qFormat/>
    <w:pPr>
      <w:contextualSpacing/>
      <w:ind w:left="720"/>
    </w:pPr>
    <w:rPr>
      <w:rFonts w:ascii="Calibri" w:hAnsi="Calibri" w:eastAsia="Times New Roman" w:cs="Times New Roman"/>
      <w:lang w:eastAsia="ru-RU"/>
    </w:rPr>
  </w:style>
  <w:style w:type="paragraph" w:styleId="959">
    <w:name w:val="Знак Знак Знак Знак Знак Знак Знак"/>
    <w:basedOn w:val="917"/>
    <w:next w:val="959"/>
    <w:link w:val="917"/>
    <w:pPr>
      <w:ind w:firstLine="567"/>
      <w:jc w:val="right"/>
      <w:spacing w:after="160" w:line="240" w:lineRule="exact"/>
    </w:pPr>
    <w:rPr>
      <w:rFonts w:ascii="Arial" w:hAnsi="Arial" w:eastAsia="Times New Roman" w:cs="Times New Roman"/>
      <w:sz w:val="24"/>
      <w:szCs w:val="24"/>
      <w:lang w:val="en-GB"/>
    </w:rPr>
  </w:style>
  <w:style w:type="paragraph" w:styleId="960">
    <w:name w:val="ConsPlusTitle"/>
    <w:next w:val="960"/>
    <w:link w:val="917"/>
    <w:uiPriority w:val="99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character" w:styleId="961">
    <w:name w:val="blk"/>
    <w:next w:val="961"/>
    <w:link w:val="917"/>
  </w:style>
  <w:style w:type="numbering" w:styleId="962">
    <w:name w:val="Нет списка11"/>
    <w:next w:val="922"/>
    <w:link w:val="917"/>
    <w:uiPriority w:val="99"/>
    <w:semiHidden/>
    <w:unhideWhenUsed/>
  </w:style>
  <w:style w:type="paragraph" w:styleId="963">
    <w:name w:val="ConsPlusCell"/>
    <w:next w:val="963"/>
    <w:link w:val="917"/>
    <w:uiPriority w:val="99"/>
    <w:rPr>
      <w:rFonts w:ascii="Courier New" w:hAnsi="Courier New" w:cs="Courier New"/>
      <w:lang w:val="ru-RU" w:eastAsia="en-US" w:bidi="ar-SA"/>
    </w:rPr>
  </w:style>
  <w:style w:type="paragraph" w:styleId="964">
    <w:name w:val="ConsPlusDocList"/>
    <w:next w:val="964"/>
    <w:link w:val="917"/>
    <w:uiPriority w:val="99"/>
    <w:rPr>
      <w:rFonts w:ascii="Courier New" w:hAnsi="Courier New" w:cs="Courier New"/>
      <w:lang w:val="ru-RU" w:eastAsia="en-US" w:bidi="ar-SA"/>
    </w:rPr>
  </w:style>
  <w:style w:type="paragraph" w:styleId="965">
    <w:name w:val="ConsPlusTitlePage"/>
    <w:next w:val="965"/>
    <w:link w:val="917"/>
    <w:uiPriority w:val="99"/>
    <w:rPr>
      <w:rFonts w:ascii="Tahoma" w:hAnsi="Tahoma" w:cs="Tahoma"/>
      <w:sz w:val="28"/>
      <w:szCs w:val="28"/>
      <w:lang w:val="ru-RU" w:eastAsia="en-US" w:bidi="ar-SA"/>
    </w:rPr>
  </w:style>
  <w:style w:type="paragraph" w:styleId="966">
    <w:name w:val="ConsPlusJurTerm"/>
    <w:next w:val="966"/>
    <w:link w:val="917"/>
    <w:uiPriority w:val="99"/>
    <w:rPr>
      <w:rFonts w:ascii="Tahoma" w:hAnsi="Tahoma" w:cs="Tahoma"/>
      <w:sz w:val="26"/>
      <w:szCs w:val="26"/>
      <w:lang w:val="ru-RU" w:eastAsia="en-US" w:bidi="ar-SA"/>
    </w:rPr>
  </w:style>
  <w:style w:type="paragraph" w:styleId="967">
    <w:name w:val="Рецензия"/>
    <w:next w:val="967"/>
    <w:link w:val="917"/>
    <w:hidden/>
    <w:uiPriority w:val="99"/>
    <w:semiHidden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68">
    <w:name w:val="Стиль"/>
    <w:next w:val="968"/>
    <w:link w:val="917"/>
    <w:uiPriority w:val="99"/>
    <w:pPr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69">
    <w:name w:val="Без интервала"/>
    <w:next w:val="969"/>
    <w:link w:val="917"/>
    <w:uiPriority w:val="1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paragraph" w:styleId="970">
    <w:name w:val="!Шапка"/>
    <w:basedOn w:val="917"/>
    <w:next w:val="970"/>
    <w:link w:val="972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971">
    <w:name w:val="!Приказ"/>
    <w:basedOn w:val="917"/>
    <w:next w:val="971"/>
    <w:link w:val="974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972">
    <w:name w:val="!Шапка Знак"/>
    <w:next w:val="972"/>
    <w:link w:val="970"/>
    <w:rPr>
      <w:rFonts w:ascii="Times New Roman" w:hAnsi="Times New Roman" w:eastAsia="Times New Roman" w:cs="Times New Roman"/>
      <w:spacing w:val="30"/>
      <w:sz w:val="28"/>
      <w:szCs w:val="28"/>
      <w:lang w:eastAsia="ru-RU"/>
    </w:rPr>
  </w:style>
  <w:style w:type="paragraph" w:styleId="973">
    <w:name w:val="!Заголовок_1"/>
    <w:basedOn w:val="917"/>
    <w:next w:val="973"/>
    <w:link w:val="976"/>
    <w:qFormat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4">
    <w:name w:val="!Приказ Знак"/>
    <w:next w:val="974"/>
    <w:link w:val="971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75">
    <w:name w:val="!Заголовок_2"/>
    <w:basedOn w:val="917"/>
    <w:next w:val="975"/>
    <w:link w:val="977"/>
    <w:qFormat/>
    <w:pPr>
      <w:contextualSpacing/>
      <w:ind w:firstLine="680"/>
      <w:jc w:val="center"/>
      <w:spacing w:after="0" w:line="240" w:lineRule="auto"/>
      <w:outlineLvl w:val="1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6">
    <w:name w:val="!Заголовок_1 Знак"/>
    <w:next w:val="976"/>
    <w:link w:val="973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7">
    <w:name w:val="!Заголовок_2 Знак"/>
    <w:next w:val="977"/>
    <w:link w:val="975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978" w:default="1">
    <w:name w:val="Default Paragraph Font"/>
    <w:uiPriority w:val="1"/>
    <w:semiHidden/>
    <w:unhideWhenUsed/>
  </w:style>
  <w:style w:type="numbering" w:styleId="979" w:default="1">
    <w:name w:val="No List"/>
    <w:uiPriority w:val="99"/>
    <w:semiHidden/>
    <w:unhideWhenUsed/>
  </w:style>
  <w:style w:type="table" w:styleId="980" w:default="1">
    <w:name w:val="Normal Table"/>
    <w:uiPriority w:val="99"/>
    <w:semiHidden/>
    <w:unhideWhenUsed/>
    <w:tblPr/>
  </w:style>
  <w:style w:type="paragraph" w:styleId="981" w:customStyle="1">
    <w:name w:val="Table Paragraph"/>
    <w:uiPriority w:val="1"/>
    <w:qFormat/>
    <w:pPr>
      <w:contextualSpacing w:val="0"/>
      <w:ind w:left="302" w:right="0" w:firstLine="0"/>
      <w:jc w:val="left"/>
      <w:keepLines w:val="0"/>
      <w:keepNext w:val="0"/>
      <w:pageBreakBefore w:val="0"/>
      <w:spacing w:before="0" w:beforeAutospacing="0" w:after="0" w:afterAutospacing="0" w:line="256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Викторовна Чевакина</dc:creator>
  <cp:lastModifiedBy>mya_sherbakova</cp:lastModifiedBy>
  <cp:revision>8</cp:revision>
  <dcterms:created xsi:type="dcterms:W3CDTF">2026-09-14T10:05:00Z</dcterms:created>
  <dcterms:modified xsi:type="dcterms:W3CDTF">2026-10-28T08:34:11Z</dcterms:modified>
  <cp:version>983040</cp:version>
</cp:coreProperties>
</file>