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F18C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softHyphen/>
        <w:t>________________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ПРЕДОСТАВЛЕНИЯ, РАСХОДОВАНИЯ И РАСПРЕДЕЛЕНИЯ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ОБРАЗОВАН</w:t>
      </w:r>
      <w:bookmarkStart w:id="1" w:name="_GoBack"/>
      <w:bookmarkEnd w:id="1"/>
      <w:r w:rsidRPr="007F18C8">
        <w:rPr>
          <w:rFonts w:ascii="Times New Roman" w:hAnsi="Times New Roman" w:cs="Times New Roman"/>
          <w:b/>
          <w:bCs/>
          <w:sz w:val="28"/>
          <w:szCs w:val="28"/>
        </w:rPr>
        <w:t>ИЙ ЛЕНИНГРАДСКОЙ ОБЛАСТИ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>НА ОБЕСПЕЧЕНИЕ ВЫПЛАТ СТИМУЛИРУЮЩЕГО ХАРАКТЕРА 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10C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ГОСУДАРСТВЕННОЙ ПРОГРАММЫ «РАЗВИТИЕ КУЛЬТУРЫ В ЛЕНИНГРАДСКОЙ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 ГОД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139 Бюджетного кодекса Российской Федерации и в целях реализации основного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14.11.2013г. № 404,</w:t>
      </w:r>
      <w:r w:rsidRPr="007F18C8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  <w:proofErr w:type="gramEnd"/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60" w:history="1">
        <w:r w:rsidRPr="007F18C8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7F18C8">
        <w:rPr>
          <w:rFonts w:ascii="Times New Roman" w:hAnsi="Times New Roman" w:cs="Times New Roman"/>
          <w:sz w:val="28"/>
          <w:szCs w:val="28"/>
        </w:rPr>
        <w:t xml:space="preserve">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7F18C8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w:anchor="Par60" w:history="1">
        <w:r w:rsidRPr="007F18C8">
          <w:rPr>
            <w:rStyle w:val="a3"/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7F18C8">
        <w:rPr>
          <w:rFonts w:ascii="Times New Roman" w:hAnsi="Times New Roman" w:cs="Times New Roman"/>
          <w:sz w:val="28"/>
          <w:szCs w:val="28"/>
        </w:rPr>
        <w:t xml:space="preserve">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области, утвержденный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18C8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8C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7F18C8">
        <w:rPr>
          <w:rFonts w:ascii="Times New Roman" w:hAnsi="Times New Roman" w:cs="Times New Roman"/>
          <w:sz w:val="28"/>
          <w:szCs w:val="28"/>
        </w:rPr>
        <w:t>.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8C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18C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вице-губернатора Ленинградской области Емельянова Н.П.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Pr="007F1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18C8">
        <w:rPr>
          <w:rFonts w:ascii="Times New Roman" w:hAnsi="Times New Roman" w:cs="Times New Roman"/>
          <w:sz w:val="28"/>
          <w:szCs w:val="28"/>
        </w:rPr>
        <w:t>А.Ю.Дрозденко</w:t>
      </w:r>
    </w:p>
    <w:p w:rsidR="00F25B7C" w:rsidRDefault="00F25B7C"/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F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0"/>
      <w:bookmarkEnd w:id="2"/>
      <w:r w:rsidRPr="007F18C8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ПРЕДОСТАВЛЕНИЯ, РАСХОДОВАНИЯ И РАСПРЕДЕЛЕНИЯ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ОБРАЗОВАНИЙ ЛЕНИНГРАДСКОЙ ОБЛАСТИ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>НА ОБЕСПЕЧЕНИЕ ВЫПЛАТ СТИМУЛИРУЮЩЕГО ХАРАКТЕРА 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 ГОД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 w:rsidRPr="0033210C">
        <w:rPr>
          <w:rFonts w:ascii="Times New Roman" w:hAnsi="Times New Roman" w:cs="Times New Roman"/>
          <w:sz w:val="28"/>
          <w:szCs w:val="28"/>
        </w:rPr>
        <w:t>. Настоящий Порядок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области, а также критерии отбора муниципальных образований для предоставления субсидий и порядок их распределения между бюджетами муниципальных образований (далее - субсидии).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2. Субсидии предоставляются в целях сохранения квалифицированных кадров и стимулирования к повышению эффективности и качества предоставляемых услуг муниципальных учреждений культуры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</w:r>
    </w:p>
    <w:p w:rsidR="00112BFC" w:rsidRPr="0033210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0C">
        <w:rPr>
          <w:rFonts w:ascii="Times New Roman" w:hAnsi="Times New Roman" w:cs="Times New Roman"/>
          <w:sz w:val="28"/>
          <w:szCs w:val="28"/>
        </w:rPr>
        <w:t>3. Субсидия предоставляется и</w:t>
      </w:r>
      <w:r>
        <w:rPr>
          <w:rFonts w:ascii="Times New Roman" w:hAnsi="Times New Roman" w:cs="Times New Roman"/>
          <w:sz w:val="28"/>
          <w:szCs w:val="28"/>
        </w:rPr>
        <w:t>з бюджета Ленинградской области</w:t>
      </w:r>
      <w:r w:rsidRPr="0033210C"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обязательств, возникших при выполнении следующих полномочий органов местного самоуправления по вопросам местного значения:</w:t>
      </w:r>
    </w:p>
    <w:p w:rsidR="00112BFC" w:rsidRPr="0033210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0C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населения;</w:t>
      </w:r>
    </w:p>
    <w:p w:rsidR="00112BFC" w:rsidRPr="0033210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0C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организаций культуры.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4C7">
        <w:rPr>
          <w:rFonts w:ascii="Times New Roman" w:hAnsi="Times New Roman" w:cs="Times New Roman"/>
          <w:sz w:val="28"/>
          <w:szCs w:val="28"/>
        </w:rPr>
        <w:t>4.</w:t>
      </w:r>
      <w:r w:rsidRPr="007F18C8">
        <w:rPr>
          <w:rFonts w:ascii="Times New Roman" w:hAnsi="Times New Roman" w:cs="Times New Roman"/>
          <w:sz w:val="28"/>
          <w:szCs w:val="28"/>
        </w:rPr>
        <w:t xml:space="preserve"> </w:t>
      </w:r>
      <w:r w:rsidRPr="009E6D5E">
        <w:rPr>
          <w:rFonts w:ascii="Times New Roman" w:hAnsi="Times New Roman" w:cs="Times New Roman"/>
          <w:sz w:val="28"/>
          <w:szCs w:val="28"/>
        </w:rPr>
        <w:t>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(структурных подразделений муниципальных учреждений), предоставляющих услуги в сфере культуры.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8C8">
        <w:rPr>
          <w:rFonts w:ascii="Times New Roman" w:hAnsi="Times New Roman" w:cs="Times New Roman"/>
          <w:sz w:val="28"/>
          <w:szCs w:val="28"/>
        </w:rPr>
        <w:t>. Условием предоставления субсидии является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обеспечению соответствия значений показателей, устанавливаемых нормативными правовыми актами органов местного самоуправления, значениям показателей результативности использования субсидий, установленным соглашением между комитетом по культуре Ленинградской области и администрацией муниципального образования об осуществлении денежных выплат работникам </w:t>
      </w:r>
      <w:r w:rsidRPr="007F18C8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культуры (далее - соглашение) и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18C8">
        <w:rPr>
          <w:rFonts w:ascii="Times New Roman" w:hAnsi="Times New Roman" w:cs="Times New Roman"/>
          <w:sz w:val="28"/>
          <w:szCs w:val="28"/>
        </w:rPr>
        <w:t>. Размер субсидии муниципальному образованию определяется по формуле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F351E0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7E5B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F351E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51E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351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351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К</w:t>
      </w:r>
      <w:r w:rsidRPr="00904E0E">
        <w:rPr>
          <w:rFonts w:ascii="Times New Roman" w:hAnsi="Times New Roman" w:cs="Times New Roman"/>
          <w:sz w:val="20"/>
          <w:szCs w:val="20"/>
        </w:rPr>
        <w:t>соф.</w:t>
      </w:r>
      <w:r>
        <w:rPr>
          <w:rFonts w:ascii="Times New Roman" w:hAnsi="Times New Roman" w:cs="Times New Roman"/>
          <w:sz w:val="20"/>
          <w:szCs w:val="20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351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351E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51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351E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351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351E0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F35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F3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2390D">
        <w:rPr>
          <w:rFonts w:ascii="Times New Roman" w:hAnsi="Times New Roman" w:cs="Times New Roman"/>
          <w:sz w:val="20"/>
          <w:szCs w:val="20"/>
        </w:rPr>
        <w:t>опт</w:t>
      </w:r>
      <w:r w:rsidRPr="00F351E0">
        <w:rPr>
          <w:rFonts w:ascii="Times New Roman" w:hAnsi="Times New Roman" w:cs="Times New Roman"/>
          <w:sz w:val="28"/>
          <w:szCs w:val="28"/>
        </w:rPr>
        <w:br/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где: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51E0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18C8">
        <w:rPr>
          <w:rFonts w:ascii="Times New Roman" w:hAnsi="Times New Roman" w:cs="Times New Roman"/>
          <w:sz w:val="28"/>
          <w:szCs w:val="28"/>
        </w:rPr>
        <w:t xml:space="preserve"> размер субсидии бюджету i-</w:t>
      </w:r>
      <w:proofErr w:type="spellStart"/>
      <w:r w:rsidRPr="007F18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18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7F18C8">
        <w:rPr>
          <w:rFonts w:ascii="Times New Roman" w:hAnsi="Times New Roman" w:cs="Times New Roman"/>
          <w:sz w:val="28"/>
          <w:szCs w:val="28"/>
        </w:rPr>
        <w:t>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51E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351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F35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E0">
        <w:rPr>
          <w:rFonts w:ascii="Times New Roman" w:hAnsi="Times New Roman" w:cs="Times New Roman"/>
          <w:sz w:val="28"/>
          <w:szCs w:val="28"/>
        </w:rPr>
        <w:t>размер субсидии</w:t>
      </w:r>
      <w:r>
        <w:rPr>
          <w:rFonts w:ascii="Times New Roman" w:hAnsi="Times New Roman" w:cs="Times New Roman"/>
          <w:sz w:val="28"/>
          <w:szCs w:val="28"/>
        </w:rPr>
        <w:t>, предоставленной</w:t>
      </w:r>
      <w:r w:rsidRPr="00F351E0">
        <w:rPr>
          <w:rFonts w:ascii="Times New Roman" w:hAnsi="Times New Roman" w:cs="Times New Roman"/>
          <w:sz w:val="28"/>
          <w:szCs w:val="28"/>
        </w:rPr>
        <w:t xml:space="preserve"> бюджету i-</w:t>
      </w:r>
      <w:proofErr w:type="spellStart"/>
      <w:r w:rsidRPr="00F351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51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F351E0">
        <w:rPr>
          <w:rFonts w:ascii="Times New Roman" w:hAnsi="Times New Roman" w:cs="Times New Roman"/>
          <w:sz w:val="28"/>
          <w:szCs w:val="28"/>
        </w:rPr>
        <w:t>;</w:t>
      </w:r>
    </w:p>
    <w:p w:rsidR="00112BFC" w:rsidRPr="00904E0E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4E0E">
        <w:rPr>
          <w:rFonts w:ascii="Times New Roman" w:hAnsi="Times New Roman" w:cs="Times New Roman"/>
          <w:sz w:val="20"/>
          <w:szCs w:val="20"/>
        </w:rPr>
        <w:t>соф.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04E0E">
        <w:rPr>
          <w:rFonts w:ascii="Times New Roman" w:hAnsi="Times New Roman" w:cs="Times New Roman"/>
          <w:sz w:val="28"/>
          <w:szCs w:val="28"/>
        </w:rPr>
        <w:t>коэффициент софинансирования расходных обязательств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2014 году в размере 75 процентов, равный 1,33(3)</w:t>
      </w:r>
      <w:r w:rsidRPr="00904E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E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351E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351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дополнительная потребность для достижения целевых показателей на 2015 год;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0,50 – объем софинансирования расходных обязательств бюджетов муниципальных образований из областного бюджета Ленинградской области;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F351E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средняя численность работников списочного состава (без внешних совместителей) муниципальных учреждений культуры </w:t>
      </w:r>
      <w:r w:rsidRPr="00384D9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384D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4D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12BFC" w:rsidRPr="0032390D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96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384D96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384D9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численность работников муниципальных учреждений культуры, используемая при расчете субсидии в 2014 году</w:t>
      </w:r>
      <w:r w:rsidRPr="0032390D">
        <w:rPr>
          <w:rFonts w:ascii="Times New Roman" w:hAnsi="Times New Roman" w:cs="Times New Roman"/>
          <w:sz w:val="28"/>
          <w:szCs w:val="28"/>
        </w:rPr>
        <w:t>;</w:t>
      </w:r>
    </w:p>
    <w:p w:rsidR="00112BFC" w:rsidRPr="0032390D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390D">
        <w:rPr>
          <w:rFonts w:ascii="Times New Roman" w:hAnsi="Times New Roman" w:cs="Times New Roman"/>
          <w:sz w:val="20"/>
          <w:szCs w:val="20"/>
        </w:rPr>
        <w:t>опт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32390D">
        <w:rPr>
          <w:rFonts w:ascii="Times New Roman" w:hAnsi="Times New Roman" w:cs="Times New Roman"/>
          <w:sz w:val="28"/>
          <w:szCs w:val="28"/>
        </w:rPr>
        <w:t>коэффициент оптимизации расходных обязательств бюджетов муниципальных образований, включая реструктуризацию сети учреждений, оптимизацию численности работников, сокращение неэффективных расходов в объеме не менее 5 процентов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«дорожной картой»</w:t>
      </w:r>
      <w:r w:rsidRPr="0032390D">
        <w:rPr>
          <w:rFonts w:ascii="Times New Roman" w:hAnsi="Times New Roman" w:cs="Times New Roman"/>
          <w:sz w:val="28"/>
          <w:szCs w:val="28"/>
        </w:rPr>
        <w:t>.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5918">
        <w:rPr>
          <w:rFonts w:ascii="Times New Roman" w:hAnsi="Times New Roman" w:cs="Times New Roman"/>
          <w:sz w:val="28"/>
          <w:szCs w:val="28"/>
        </w:rPr>
        <w:t>ополнительная потребность для достижения целевых показателей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9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2BFC" w:rsidRPr="003F3CA4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E5918">
        <w:rPr>
          <w:rFonts w:ascii="Times New Roman" w:hAnsi="Times New Roman" w:cs="Times New Roman"/>
          <w:sz w:val="28"/>
          <w:szCs w:val="28"/>
        </w:rPr>
        <w:t>P</w:t>
      </w:r>
      <w:r w:rsidRPr="00BE5918">
        <w:rPr>
          <w:rFonts w:ascii="Times New Roman" w:hAnsi="Times New Roman" w:cs="Times New Roman"/>
          <w:sz w:val="20"/>
          <w:szCs w:val="20"/>
        </w:rPr>
        <w:t>i1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E591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E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5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4) *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F351E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3CA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112BFC" w:rsidRPr="00BE591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1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12BFC" w:rsidRPr="004D0160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достигнутое значение средней заработной платы работников муниципальных учреждений культуры </w:t>
      </w:r>
      <w:r w:rsidRPr="004D0160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4D01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4D0160">
        <w:rPr>
          <w:rFonts w:ascii="Times New Roman" w:hAnsi="Times New Roman" w:cs="Times New Roman"/>
          <w:sz w:val="28"/>
          <w:szCs w:val="28"/>
        </w:rPr>
        <w:t>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Pr="004D0160">
        <w:rPr>
          <w:rFonts w:ascii="Times New Roman" w:hAnsi="Times New Roman" w:cs="Times New Roman"/>
          <w:sz w:val="28"/>
          <w:szCs w:val="28"/>
        </w:rPr>
        <w:t>– расчетно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160">
        <w:rPr>
          <w:rFonts w:ascii="Times New Roman" w:hAnsi="Times New Roman" w:cs="Times New Roman"/>
          <w:sz w:val="28"/>
          <w:szCs w:val="28"/>
        </w:rPr>
        <w:t xml:space="preserve"> целевое значение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160">
        <w:rPr>
          <w:rFonts w:ascii="Times New Roman" w:hAnsi="Times New Roman" w:cs="Times New Roman"/>
          <w:sz w:val="28"/>
          <w:szCs w:val="28"/>
        </w:rPr>
        <w:t>средней заработной платы работников муниципальных учреждений культуры i-</w:t>
      </w:r>
      <w:proofErr w:type="spellStart"/>
      <w:r w:rsidRPr="004D01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0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16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определяемое по формуле: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</w:rPr>
        <w:t>цел</w:t>
      </w:r>
      <w:r w:rsidRPr="004D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F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F2EA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0160">
        <w:rPr>
          <w:rFonts w:ascii="Times New Roman" w:hAnsi="Times New Roman" w:cs="Times New Roman"/>
          <w:sz w:val="20"/>
          <w:szCs w:val="20"/>
        </w:rPr>
        <w:t>МО1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D016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0160">
        <w:rPr>
          <w:rFonts w:ascii="Times New Roman" w:hAnsi="Times New Roman" w:cs="Times New Roman"/>
          <w:sz w:val="28"/>
          <w:szCs w:val="28"/>
        </w:rPr>
        <w:t>целевое значение показателя заработной платы 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на 2015 год в соответствии с </w:t>
      </w:r>
      <w:hyperlink r:id="rId5" w:history="1">
        <w:r w:rsidRPr="004D0160">
          <w:rPr>
            <w:rStyle w:val="a3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D016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апреля 2013 года № 181-р «О 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112BFC" w:rsidRPr="004D0160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0160">
        <w:rPr>
          <w:rFonts w:ascii="Times New Roman" w:hAnsi="Times New Roman" w:cs="Times New Roman"/>
          <w:sz w:val="20"/>
          <w:szCs w:val="20"/>
        </w:rPr>
        <w:t>МО1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D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160">
        <w:rPr>
          <w:rFonts w:ascii="Times New Roman" w:hAnsi="Times New Roman" w:cs="Times New Roman"/>
          <w:sz w:val="28"/>
          <w:szCs w:val="28"/>
        </w:rPr>
        <w:t xml:space="preserve">значение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D0160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D01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16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данным официальной статистики.</w:t>
      </w:r>
      <w:proofErr w:type="gramEnd"/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соблюдаются условия: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E4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0160">
        <w:rPr>
          <w:rFonts w:ascii="Times New Roman" w:hAnsi="Times New Roman" w:cs="Times New Roman"/>
          <w:sz w:val="20"/>
          <w:szCs w:val="20"/>
        </w:rPr>
        <w:t>МО1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>цел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E4">
        <w:rPr>
          <w:rFonts w:ascii="Times New Roman" w:hAnsi="Times New Roman" w:cs="Times New Roman"/>
          <w:sz w:val="28"/>
          <w:szCs w:val="28"/>
        </w:rPr>
        <w:t xml:space="preserve">&gt;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E591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591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E591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F3CA4">
        <w:rPr>
          <w:rFonts w:ascii="Times New Roman" w:hAnsi="Times New Roman" w:cs="Times New Roman"/>
          <w:sz w:val="28"/>
          <w:szCs w:val="28"/>
        </w:rPr>
        <w:t>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количество месяцев;</w:t>
      </w:r>
    </w:p>
    <w:p w:rsidR="00112BFC" w:rsidRPr="00F9031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страховых взносов.</w:t>
      </w:r>
    </w:p>
    <w:p w:rsidR="00112BFC" w:rsidRPr="00BE591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18C8"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ассигнований, утвержденных областным законом об областном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F18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F18C8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F18C8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F1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8C8">
        <w:rPr>
          <w:rFonts w:ascii="Times New Roman" w:hAnsi="Times New Roman" w:cs="Times New Roman"/>
          <w:sz w:val="28"/>
          <w:szCs w:val="28"/>
        </w:rPr>
        <w:t>Перечисление субсидий осуществляется комитетом финансов Ленинградской области на основании распорядительных заявок на расход, представленных комитетом по культуре Ленинградской области, на счета главных администраторов доходов бюджетов муниципальных образований, открытые в территориальных отделениях Управления Федерального казначейства по Ленинградской области.</w:t>
      </w:r>
      <w:proofErr w:type="gramEnd"/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18C8">
        <w:rPr>
          <w:rFonts w:ascii="Times New Roman" w:hAnsi="Times New Roman" w:cs="Times New Roman"/>
          <w:sz w:val="28"/>
          <w:szCs w:val="28"/>
        </w:rPr>
        <w:t>. Ответственность за своевременное перечисление субсидий несет комитет по культуре Ленинградской области.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8C8">
        <w:rPr>
          <w:rFonts w:ascii="Times New Roman" w:hAnsi="Times New Roman" w:cs="Times New Roman"/>
          <w:sz w:val="28"/>
          <w:szCs w:val="28"/>
        </w:rPr>
        <w:t xml:space="preserve">. Субсидии предоставляются при условии </w:t>
      </w:r>
    </w:p>
    <w:p w:rsidR="00112BFC" w:rsidRPr="001D7776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а)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устанавливающего расходное обязательство муниципального образования Ленинградской области и предусматривающего размеры его финансирования;</w:t>
      </w:r>
    </w:p>
    <w:p w:rsidR="00112BFC" w:rsidRPr="001D7776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б) 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DF0">
        <w:rPr>
          <w:rFonts w:ascii="Times New Roman" w:hAnsi="Times New Roman" w:cs="Times New Roman"/>
          <w:sz w:val="28"/>
          <w:szCs w:val="28"/>
        </w:rPr>
        <w:t>в)</w:t>
      </w:r>
      <w:r w:rsidRPr="001D7776">
        <w:rPr>
          <w:rFonts w:ascii="Times New Roman" w:hAnsi="Times New Roman" w:cs="Times New Roman"/>
          <w:sz w:val="28"/>
          <w:szCs w:val="28"/>
        </w:rPr>
        <w:t xml:space="preserve"> наличие заключенного между </w:t>
      </w:r>
      <w:r>
        <w:rPr>
          <w:rFonts w:ascii="Times New Roman" w:hAnsi="Times New Roman" w:cs="Times New Roman"/>
          <w:sz w:val="28"/>
          <w:szCs w:val="28"/>
        </w:rPr>
        <w:t>комитетом по культуре</w:t>
      </w:r>
      <w:r w:rsidRPr="001D7776">
        <w:rPr>
          <w:rFonts w:ascii="Times New Roman" w:hAnsi="Times New Roman" w:cs="Times New Roman"/>
          <w:sz w:val="28"/>
          <w:szCs w:val="28"/>
        </w:rPr>
        <w:t xml:space="preserve"> Ленинградской области и органом местного самоуправления Ленинградской области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BFC" w:rsidRPr="001D7776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 xml:space="preserve">Форма соглашения </w:t>
      </w:r>
      <w:proofErr w:type="gramStart"/>
      <w:r w:rsidRPr="001D777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Pr="001D7776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и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1D7776">
        <w:rPr>
          <w:rFonts w:ascii="Times New Roman" w:hAnsi="Times New Roman" w:cs="Times New Roman"/>
          <w:sz w:val="28"/>
          <w:szCs w:val="28"/>
        </w:rPr>
        <w:t>:</w:t>
      </w:r>
    </w:p>
    <w:p w:rsidR="00112BFC" w:rsidRPr="0033210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0C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0C">
        <w:rPr>
          <w:rFonts w:ascii="Times New Roman" w:hAnsi="Times New Roman" w:cs="Times New Roman"/>
          <w:sz w:val="28"/>
          <w:szCs w:val="28"/>
        </w:rPr>
        <w:t>обязательство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3210C">
        <w:rPr>
          <w:rFonts w:ascii="Times New Roman" w:hAnsi="Times New Roman" w:cs="Times New Roman"/>
          <w:sz w:val="28"/>
          <w:szCs w:val="28"/>
        </w:rPr>
        <w:t xml:space="preserve"> по предоставлению комитету по культуре Ленинградской области плана </w:t>
      </w:r>
      <w:r w:rsidRPr="0033210C">
        <w:rPr>
          <w:rFonts w:ascii="Times New Roman" w:hAnsi="Times New Roman" w:cs="Times New Roman"/>
          <w:sz w:val="28"/>
          <w:szCs w:val="28"/>
        </w:rPr>
        <w:lastRenderedPageBreak/>
        <w:t>мероприятий 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достижению</w:t>
      </w:r>
      <w:r w:rsidRPr="0033210C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использования субсидии;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муниципального образования Ленинградской области по обеспечению соответствия значений показателей, устанавливаемых муниципальными правовыми актами, значениям показателей результативности использования субсидии, установленным соглашением между комитетом по культуре Ленинградской области и органом местного самоуправления о предоставлении субсидии;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муниципального образования Ленинградской области по организации учета результатов исполнения расходных обязательств, установленных муниципальными правовыми актами;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Ленинградской области по ежеквартальному размещению отчетной информации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использования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Ленинградской области;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Ленинградской области о предоставлении комитету по культуре Ленинградской области отчетов о расходах местного бюджета, источником финансового обеспечения которых является субсидия, и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Ленинградской области установленных значений целевых показателей результативности использования субсидий;</w:t>
      </w:r>
    </w:p>
    <w:p w:rsidR="00112BFC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Ленинградской области, подтвержденное выпиской из ежемесячной отчетности об исполнении местного бюджета на последнюю отчетную дату, предшествующую дате заключения соглашения, за подписью руководителя финансового органа муниципального образования Ленинградской области.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8C8">
        <w:rPr>
          <w:rFonts w:ascii="Times New Roman" w:hAnsi="Times New Roman" w:cs="Times New Roman"/>
          <w:sz w:val="28"/>
          <w:szCs w:val="28"/>
        </w:rPr>
        <w:t xml:space="preserve">. Оценка эффективности использования субсидии и соблюдения условий предоставления субсидий осуществляется комитетом по культуре Ленинградской области исходя из достижения следующих </w:t>
      </w:r>
      <w:proofErr w:type="gramStart"/>
      <w:r w:rsidRPr="007F18C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субсидий</w:t>
      </w:r>
      <w:proofErr w:type="gramEnd"/>
      <w:r w:rsidRPr="007F18C8">
        <w:rPr>
          <w:rFonts w:ascii="Times New Roman" w:hAnsi="Times New Roman" w:cs="Times New Roman"/>
          <w:sz w:val="28"/>
          <w:szCs w:val="28"/>
        </w:rPr>
        <w:t>: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положительная динамика изменения среднемесячной заработной платы работников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F18C8">
        <w:rPr>
          <w:rFonts w:ascii="Times New Roman" w:hAnsi="Times New Roman" w:cs="Times New Roman"/>
          <w:sz w:val="28"/>
          <w:szCs w:val="28"/>
        </w:rPr>
        <w:t>;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муниципальных учреждений культуры и средней заработной платы в Ленинградской области соответствует показателям, предусмотренным в соглашении.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8C8">
        <w:rPr>
          <w:rFonts w:ascii="Times New Roman" w:hAnsi="Times New Roman" w:cs="Times New Roman"/>
          <w:sz w:val="28"/>
          <w:szCs w:val="28"/>
        </w:rPr>
        <w:t>.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F18C8">
        <w:rPr>
          <w:rFonts w:ascii="Times New Roman" w:hAnsi="Times New Roman" w:cs="Times New Roman"/>
          <w:sz w:val="28"/>
          <w:szCs w:val="28"/>
        </w:rPr>
        <w:t>: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F18C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F18C8">
        <w:rPr>
          <w:rFonts w:ascii="Times New Roman" w:hAnsi="Times New Roman" w:cs="Times New Roman"/>
          <w:sz w:val="28"/>
          <w:szCs w:val="28"/>
        </w:rPr>
        <w:t xml:space="preserve">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образования;</w:t>
      </w:r>
    </w:p>
    <w:p w:rsidR="00112BFC" w:rsidRPr="00E2450A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8C8">
        <w:rPr>
          <w:rFonts w:ascii="Times New Roman" w:hAnsi="Times New Roman" w:cs="Times New Roman"/>
          <w:sz w:val="28"/>
          <w:szCs w:val="28"/>
        </w:rPr>
        <w:t xml:space="preserve">. Разработку показателей и критериев оценки эффективности труда работников и обеспечение предоставления стимулирующих выплат </w:t>
      </w:r>
      <w:r w:rsidRPr="007F18C8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осуществлять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F18C8">
        <w:rPr>
          <w:rFonts w:ascii="Times New Roman" w:hAnsi="Times New Roman" w:cs="Times New Roman"/>
          <w:sz w:val="28"/>
          <w:szCs w:val="28"/>
        </w:rPr>
        <w:t>в соответствии с положением об оплате и стимулировании труда работников учреждения, утвержденным приказом по учреждению. Начисление стимулирующих выплат осуществляется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списочного состава учреждений </w:t>
      </w:r>
      <w:r w:rsidRPr="00E2450A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E2450A">
        <w:rPr>
          <w:rFonts w:ascii="Times New Roman" w:hAnsi="Times New Roman" w:cs="Times New Roman"/>
          <w:sz w:val="28"/>
          <w:szCs w:val="28"/>
        </w:rPr>
        <w:t xml:space="preserve"> работающих по договорам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18C8">
        <w:rPr>
          <w:rFonts w:ascii="Times New Roman" w:hAnsi="Times New Roman" w:cs="Times New Roman"/>
          <w:sz w:val="28"/>
          <w:szCs w:val="28"/>
        </w:rPr>
        <w:t>. Остатки не использованных в текущем финансовом году субсидий подлежат возврату в установленном порядке в доход областного бюджета Ленинградской области.</w:t>
      </w:r>
    </w:p>
    <w:p w:rsidR="00112BFC" w:rsidRPr="007F18C8" w:rsidRDefault="00112BFC" w:rsidP="00112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8C8">
        <w:rPr>
          <w:rFonts w:ascii="Times New Roman" w:hAnsi="Times New Roman" w:cs="Times New Roman"/>
          <w:sz w:val="28"/>
          <w:szCs w:val="28"/>
        </w:rPr>
        <w:t>. Контроль за целевым использованием субсидий осуществляется комитетом по культуре Ленинградской области.</w:t>
      </w:r>
    </w:p>
    <w:p w:rsidR="00112BFC" w:rsidRDefault="00112BFC"/>
    <w:sectPr w:rsidR="0011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8"/>
    <w:rsid w:val="00112BFC"/>
    <w:rsid w:val="00A01AF8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FB7277865A911A44812FC14C6B0262279F2C16FF0AC96A4A05ED7793FE09642CDCD0DD841D4F0yCs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</dc:creator>
  <cp:keywords/>
  <dc:description/>
  <cp:lastModifiedBy>Коростелева</cp:lastModifiedBy>
  <cp:revision>2</cp:revision>
  <dcterms:created xsi:type="dcterms:W3CDTF">2015-04-01T12:38:00Z</dcterms:created>
  <dcterms:modified xsi:type="dcterms:W3CDTF">2015-04-01T12:40:00Z</dcterms:modified>
</cp:coreProperties>
</file>