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C0AB9" wp14:editId="69144CA5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B3F14" w:rsidRDefault="00B86E0A" w:rsidP="00BB3F1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обнаруженного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 </w:t>
      </w:r>
      <w:proofErr w:type="spellStart"/>
      <w:r w:rsidR="00B2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Волосовском</w:t>
      </w:r>
      <w:proofErr w:type="spellEnd"/>
      <w:r w:rsidR="00B2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области,</w:t>
      </w:r>
      <w:r w:rsidR="00FF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расположенных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D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дской области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утверждении границ его территории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>п. 2.2.2. Положения</w:t>
      </w:r>
      <w:r w:rsidR="00E73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A06AB7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24.10.2017 № 431</w:t>
      </w:r>
      <w:r w:rsidR="00A06AB7">
        <w:rPr>
          <w:rFonts w:ascii="Times New Roman" w:hAnsi="Times New Roman"/>
          <w:sz w:val="28"/>
          <w:szCs w:val="28"/>
        </w:rPr>
        <w:t xml:space="preserve">, 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об объекте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A61D83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«Центр археологических исследований»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Мирецкий</w:t>
      </w:r>
      <w:proofErr w:type="spellEnd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лист № 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2060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по </w:t>
      </w:r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53634" w:rsidRPr="0040381A" w:rsidRDefault="00953634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области, объект археологического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«Селище 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Губаницы</w:t>
      </w:r>
      <w:proofErr w:type="spellEnd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C64926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территории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«Селище 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Губаницы</w:t>
      </w:r>
      <w:proofErr w:type="spellEnd"/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1»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 xml:space="preserve">от 01 сентября 2015 года № 2328  «Об утверждении перечня отдельных сведений об объектах археологического наследия, которые </w:t>
      </w:r>
      <w:r w:rsidR="00E734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A63" w:rsidRPr="005C5A63">
        <w:rPr>
          <w:rFonts w:ascii="Times New Roman" w:hAnsi="Times New Roman" w:cs="Times New Roman"/>
          <w:sz w:val="28"/>
          <w:szCs w:val="28"/>
        </w:rPr>
        <w:t>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которых располагае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«Селище 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Губаницы</w:t>
      </w:r>
      <w:proofErr w:type="spellEnd"/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1»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FC7654" w:rsidRDefault="00DF6189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охране выявленного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«Селище 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Губаницы</w:t>
      </w:r>
      <w:proofErr w:type="spellEnd"/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решения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CB2246" w:rsidRDefault="00A06AB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уведомления 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выявленном объекте археологического наследия собственнику земельного участк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(или) пользователю земельного участка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или в котором обнаружен объект археологического наследия,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 местного самоуправления муниципального образования,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которого обнаружен данный объект археологического наследия, 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</w:t>
      </w:r>
      <w:proofErr w:type="gramEnd"/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рственном реестре недвижимости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</w:p>
    <w:p w:rsid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исполнению пунктов </w:t>
      </w:r>
      <w:r w:rsidR="004E642A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области, курирующего </w:t>
      </w:r>
      <w:proofErr w:type="spellStart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B2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объектов культурного наследия регионального значения и выявленных объектов культурного наследия.</w:t>
      </w:r>
      <w:proofErr w:type="gramEnd"/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B86E0A" w:rsidRDefault="00E734F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Pr="00B86E0A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2231C" w:rsidRPr="00B86E0A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2231C" w:rsidRPr="00B86E0A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2231C" w:rsidRPr="00B86E0A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2018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231C" w:rsidRDefault="00B2231C" w:rsidP="00B2231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Особый режим использования земельных участков в границах территории выявленного объекта культурного наследия, указанных         в приложении 1 настоящего приказа</w:t>
      </w:r>
    </w:p>
    <w:p w:rsidR="00B2231C" w:rsidRDefault="00B2231C" w:rsidP="00B2231C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1C" w:rsidRDefault="00B2231C" w:rsidP="00B223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5.1 Федерального закона от 25 июня 2002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«Об объектах культурного наследия (памятниках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 (далее –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73-ФЗ)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проведения археологических полевых работ в порядке, установленном Федеральным законом № 73-ФЗ,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183" w:history="1"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</w:t>
        </w:r>
        <w:proofErr w:type="gramEnd"/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обеспечения доступа граждан к указанным объектам.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земляных, строительных, мелиоративных, 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>и иных работ без согласования с государственным органом охраны объектов культурного наследия;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нарушение дернового слоя и выемка грунта на участках, ранее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41EC">
        <w:rPr>
          <w:rFonts w:ascii="Times New Roman" w:hAnsi="Times New Roman" w:cs="Times New Roman"/>
          <w:sz w:val="28"/>
          <w:szCs w:val="28"/>
        </w:rPr>
        <w:t>не подвергавшихся перекопке и повреждению, за исключением деятельности, связанной с археологическими исследованиями, а также деятельности, направленной на сохранение и научное изучение объекта археологического наследия;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археологических исследований на территории объекта археологического наследия без наличия у исследователя разрешения (открытого листа), выданного Министерством культуры Российской Федерации; 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размещение мусора (свалок) на территории выявленного объекта археологического наследия.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хозяйственной деятельности, связанной с производством земляных работ и капитальным строительством, при условии согласования с государственным органом охраны объектов культурного наследия мероприятий по обеспечению сохранности выявленного объекта археологического наследия. Указанная деятельность может осуществляться только после выполнения в полном объёме согласованных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41EC">
        <w:rPr>
          <w:rFonts w:ascii="Times New Roman" w:hAnsi="Times New Roman" w:cs="Times New Roman"/>
          <w:sz w:val="28"/>
          <w:szCs w:val="28"/>
        </w:rPr>
        <w:t>по обеспечению сохранности выявленного объекта археологического наследия;</w:t>
      </w:r>
    </w:p>
    <w:p w:rsidR="00B2231C" w:rsidRPr="00F041EC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деятельность, связанная с проведением археологических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1EC">
        <w:rPr>
          <w:rFonts w:ascii="Times New Roman" w:hAnsi="Times New Roman" w:cs="Times New Roman"/>
          <w:sz w:val="28"/>
          <w:szCs w:val="28"/>
        </w:rPr>
        <w:t>и научным изучением объекта археологического наследия,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lastRenderedPageBreak/>
        <w:t>в рамках действующего законодательства;</w:t>
      </w:r>
    </w:p>
    <w:p w:rsidR="00B2231C" w:rsidRPr="0053336D" w:rsidRDefault="00B2231C" w:rsidP="00B2231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использование в соответствии со ст. 45.2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t>73-ФЗ специальных технических средств поиска и (или) землеройных машин в целях обнаружения объектов археологического наследия и (или) археологических предметов исключительно при осуществлении археологических полевых работ, проводимых на основании разрешения (открытого листа).</w:t>
      </w: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C1" w:rsidRDefault="00DB71C1" w:rsidP="00B2231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  <w:b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 xml:space="preserve"> председател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начальник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А.Н. Карлов</w:t>
      </w:r>
    </w:p>
    <w:p w:rsidR="00B2231C" w:rsidRPr="00016755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С.А. Волкова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086555" w:rsidRDefault="00B2231C" w:rsidP="00B2231C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B2231C" w:rsidRPr="00086555" w:rsidRDefault="00B2231C" w:rsidP="00B22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086555">
        <w:rPr>
          <w:rFonts w:ascii="Times New Roman" w:hAnsi="Times New Roman" w:cs="Times New Roman"/>
        </w:rPr>
        <w:t>_О.А. Лавриненко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  <w:b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С.А. Волкова</w:t>
      </w:r>
    </w:p>
    <w:p w:rsidR="00B2231C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</w:p>
    <w:p w:rsidR="00B2231C" w:rsidRPr="00223438" w:rsidRDefault="00B2231C" w:rsidP="00B2231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DB71C1" w:rsidRDefault="00DB71C1" w:rsidP="004732B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71C1" w:rsidSect="00B2231C">
          <w:headerReference w:type="defaul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90EF4" w:rsidRPr="00DB71C1" w:rsidRDefault="00C90EF4" w:rsidP="004732B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EF4" w:rsidRPr="00DB71C1" w:rsidSect="00DB71C1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45" w:rsidRDefault="006B5445" w:rsidP="00377E47">
      <w:pPr>
        <w:spacing w:after="0" w:line="240" w:lineRule="auto"/>
      </w:pPr>
      <w:r>
        <w:separator/>
      </w:r>
    </w:p>
  </w:endnote>
  <w:endnote w:type="continuationSeparator" w:id="0">
    <w:p w:rsidR="006B5445" w:rsidRDefault="006B5445" w:rsidP="0037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45" w:rsidRDefault="006B5445" w:rsidP="00377E47">
      <w:pPr>
        <w:spacing w:after="0" w:line="240" w:lineRule="auto"/>
      </w:pPr>
      <w:r>
        <w:separator/>
      </w:r>
    </w:p>
  </w:footnote>
  <w:footnote w:type="continuationSeparator" w:id="0">
    <w:p w:rsidR="006B5445" w:rsidRDefault="006B5445" w:rsidP="0037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E4" w:rsidRDefault="009509E4" w:rsidP="009509E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52BEE"/>
    <w:multiLevelType w:val="hybridMultilevel"/>
    <w:tmpl w:val="6BC8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81204E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2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2330"/>
    <w:rsid w:val="000374C8"/>
    <w:rsid w:val="00053E43"/>
    <w:rsid w:val="00086555"/>
    <w:rsid w:val="00097A4B"/>
    <w:rsid w:val="000A1C91"/>
    <w:rsid w:val="000B3F38"/>
    <w:rsid w:val="000C2D02"/>
    <w:rsid w:val="000D5386"/>
    <w:rsid w:val="000E0EA2"/>
    <w:rsid w:val="00102A43"/>
    <w:rsid w:val="00103F20"/>
    <w:rsid w:val="00120774"/>
    <w:rsid w:val="00122030"/>
    <w:rsid w:val="00135583"/>
    <w:rsid w:val="001475BF"/>
    <w:rsid w:val="00162DC1"/>
    <w:rsid w:val="00185B89"/>
    <w:rsid w:val="001C094F"/>
    <w:rsid w:val="001C51B9"/>
    <w:rsid w:val="001F4D45"/>
    <w:rsid w:val="00205698"/>
    <w:rsid w:val="00216EB3"/>
    <w:rsid w:val="00223438"/>
    <w:rsid w:val="00225A93"/>
    <w:rsid w:val="002274D5"/>
    <w:rsid w:val="00236D7D"/>
    <w:rsid w:val="00280AA9"/>
    <w:rsid w:val="002D5A30"/>
    <w:rsid w:val="002E467F"/>
    <w:rsid w:val="003336F7"/>
    <w:rsid w:val="003424F1"/>
    <w:rsid w:val="00351EBC"/>
    <w:rsid w:val="00377E47"/>
    <w:rsid w:val="0038468C"/>
    <w:rsid w:val="00385530"/>
    <w:rsid w:val="003A2EF1"/>
    <w:rsid w:val="003C1588"/>
    <w:rsid w:val="003C4080"/>
    <w:rsid w:val="0040381A"/>
    <w:rsid w:val="004115C0"/>
    <w:rsid w:val="00426AD5"/>
    <w:rsid w:val="00445A30"/>
    <w:rsid w:val="00461B84"/>
    <w:rsid w:val="004732B4"/>
    <w:rsid w:val="0047532D"/>
    <w:rsid w:val="00475F0D"/>
    <w:rsid w:val="00477FDF"/>
    <w:rsid w:val="0049521A"/>
    <w:rsid w:val="004A30E5"/>
    <w:rsid w:val="004B1EA1"/>
    <w:rsid w:val="004B5CF1"/>
    <w:rsid w:val="004C4A47"/>
    <w:rsid w:val="004D08A3"/>
    <w:rsid w:val="004E1E66"/>
    <w:rsid w:val="004E23A4"/>
    <w:rsid w:val="004E642A"/>
    <w:rsid w:val="0050133B"/>
    <w:rsid w:val="0050203F"/>
    <w:rsid w:val="005061AD"/>
    <w:rsid w:val="00513AD6"/>
    <w:rsid w:val="00534620"/>
    <w:rsid w:val="005503D4"/>
    <w:rsid w:val="0055691F"/>
    <w:rsid w:val="005677FF"/>
    <w:rsid w:val="00586237"/>
    <w:rsid w:val="0058755D"/>
    <w:rsid w:val="00590539"/>
    <w:rsid w:val="00592731"/>
    <w:rsid w:val="0059519B"/>
    <w:rsid w:val="005C0799"/>
    <w:rsid w:val="005C48F7"/>
    <w:rsid w:val="005C5A63"/>
    <w:rsid w:val="005D03CF"/>
    <w:rsid w:val="005D1809"/>
    <w:rsid w:val="005F3BE0"/>
    <w:rsid w:val="005F739A"/>
    <w:rsid w:val="00607DF1"/>
    <w:rsid w:val="00612A93"/>
    <w:rsid w:val="00613C9B"/>
    <w:rsid w:val="006201FB"/>
    <w:rsid w:val="006215A3"/>
    <w:rsid w:val="006248A9"/>
    <w:rsid w:val="006350A0"/>
    <w:rsid w:val="00645E51"/>
    <w:rsid w:val="00674894"/>
    <w:rsid w:val="0069397F"/>
    <w:rsid w:val="00696155"/>
    <w:rsid w:val="006B1F3B"/>
    <w:rsid w:val="006B5445"/>
    <w:rsid w:val="006C187E"/>
    <w:rsid w:val="006E5159"/>
    <w:rsid w:val="0070032D"/>
    <w:rsid w:val="0071061B"/>
    <w:rsid w:val="00723E7C"/>
    <w:rsid w:val="007318F5"/>
    <w:rsid w:val="007506C3"/>
    <w:rsid w:val="00771064"/>
    <w:rsid w:val="007A328D"/>
    <w:rsid w:val="007A6C7B"/>
    <w:rsid w:val="007C1CAA"/>
    <w:rsid w:val="007D1AA5"/>
    <w:rsid w:val="0081063B"/>
    <w:rsid w:val="00820CED"/>
    <w:rsid w:val="00846951"/>
    <w:rsid w:val="00874891"/>
    <w:rsid w:val="008859F5"/>
    <w:rsid w:val="008868AD"/>
    <w:rsid w:val="0089066F"/>
    <w:rsid w:val="008917CE"/>
    <w:rsid w:val="008B0ABC"/>
    <w:rsid w:val="008D75AB"/>
    <w:rsid w:val="008F47C8"/>
    <w:rsid w:val="00923B0C"/>
    <w:rsid w:val="00931BD8"/>
    <w:rsid w:val="009509E4"/>
    <w:rsid w:val="00950ABF"/>
    <w:rsid w:val="00953634"/>
    <w:rsid w:val="00966CF4"/>
    <w:rsid w:val="00972895"/>
    <w:rsid w:val="009745E0"/>
    <w:rsid w:val="009762D9"/>
    <w:rsid w:val="00982B49"/>
    <w:rsid w:val="009865C3"/>
    <w:rsid w:val="009A2CA1"/>
    <w:rsid w:val="009B7D4B"/>
    <w:rsid w:val="009D3983"/>
    <w:rsid w:val="00A06AB7"/>
    <w:rsid w:val="00A220D3"/>
    <w:rsid w:val="00A61D83"/>
    <w:rsid w:val="00A8175A"/>
    <w:rsid w:val="00A860A7"/>
    <w:rsid w:val="00AB3839"/>
    <w:rsid w:val="00AB54F3"/>
    <w:rsid w:val="00AC1673"/>
    <w:rsid w:val="00AC22A7"/>
    <w:rsid w:val="00AD621E"/>
    <w:rsid w:val="00AE426F"/>
    <w:rsid w:val="00B2231C"/>
    <w:rsid w:val="00B24E02"/>
    <w:rsid w:val="00B301BC"/>
    <w:rsid w:val="00B35864"/>
    <w:rsid w:val="00B37D05"/>
    <w:rsid w:val="00B72A54"/>
    <w:rsid w:val="00B75A7B"/>
    <w:rsid w:val="00B80EE4"/>
    <w:rsid w:val="00B84F60"/>
    <w:rsid w:val="00B85F4E"/>
    <w:rsid w:val="00B86E0A"/>
    <w:rsid w:val="00B97827"/>
    <w:rsid w:val="00BB3F14"/>
    <w:rsid w:val="00BC57B3"/>
    <w:rsid w:val="00BC5A79"/>
    <w:rsid w:val="00BC609A"/>
    <w:rsid w:val="00BE6050"/>
    <w:rsid w:val="00C27130"/>
    <w:rsid w:val="00C434D8"/>
    <w:rsid w:val="00C64926"/>
    <w:rsid w:val="00C76EFB"/>
    <w:rsid w:val="00C852AC"/>
    <w:rsid w:val="00C90EF4"/>
    <w:rsid w:val="00CA134E"/>
    <w:rsid w:val="00CA4B0D"/>
    <w:rsid w:val="00CB2246"/>
    <w:rsid w:val="00CC1086"/>
    <w:rsid w:val="00CD43F7"/>
    <w:rsid w:val="00CD481B"/>
    <w:rsid w:val="00CE266C"/>
    <w:rsid w:val="00CE6549"/>
    <w:rsid w:val="00CE74EF"/>
    <w:rsid w:val="00D24039"/>
    <w:rsid w:val="00D27131"/>
    <w:rsid w:val="00D33C23"/>
    <w:rsid w:val="00D60794"/>
    <w:rsid w:val="00D7021F"/>
    <w:rsid w:val="00D75882"/>
    <w:rsid w:val="00D77D4B"/>
    <w:rsid w:val="00DA3244"/>
    <w:rsid w:val="00DA6049"/>
    <w:rsid w:val="00DB71C1"/>
    <w:rsid w:val="00DD2685"/>
    <w:rsid w:val="00DD27BB"/>
    <w:rsid w:val="00DD79BD"/>
    <w:rsid w:val="00DF1524"/>
    <w:rsid w:val="00DF6189"/>
    <w:rsid w:val="00E02F5C"/>
    <w:rsid w:val="00E176B3"/>
    <w:rsid w:val="00E178BF"/>
    <w:rsid w:val="00E21758"/>
    <w:rsid w:val="00E61F5E"/>
    <w:rsid w:val="00E72736"/>
    <w:rsid w:val="00E734F6"/>
    <w:rsid w:val="00E84698"/>
    <w:rsid w:val="00E91F03"/>
    <w:rsid w:val="00ED0413"/>
    <w:rsid w:val="00EE305D"/>
    <w:rsid w:val="00F041EC"/>
    <w:rsid w:val="00F27879"/>
    <w:rsid w:val="00F33CEA"/>
    <w:rsid w:val="00F42FF4"/>
    <w:rsid w:val="00F817B5"/>
    <w:rsid w:val="00F83C21"/>
    <w:rsid w:val="00F915A8"/>
    <w:rsid w:val="00F94E7B"/>
    <w:rsid w:val="00FC2E4E"/>
    <w:rsid w:val="00FC7654"/>
    <w:rsid w:val="00FE621A"/>
    <w:rsid w:val="00FF0294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94</cp:revision>
  <cp:lastPrinted>2018-06-29T16:28:00Z</cp:lastPrinted>
  <dcterms:created xsi:type="dcterms:W3CDTF">2016-04-11T10:27:00Z</dcterms:created>
  <dcterms:modified xsi:type="dcterms:W3CDTF">2018-07-05T06:37:00Z</dcterms:modified>
</cp:coreProperties>
</file>