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6DA" w:rsidRPr="00A916DA" w:rsidRDefault="00A916DA" w:rsidP="00A916DA">
      <w:r w:rsidRPr="00A916DA">
        <w:t>Приложение N 25</w:t>
      </w:r>
    </w:p>
    <w:p w:rsidR="00A916DA" w:rsidRPr="00A916DA" w:rsidRDefault="00A916DA" w:rsidP="00A916DA">
      <w:r w:rsidRPr="00A916DA">
        <w:t>к приказу Министерства строительства</w:t>
      </w:r>
    </w:p>
    <w:p w:rsidR="00A916DA" w:rsidRPr="00A916DA" w:rsidRDefault="00A916DA" w:rsidP="00A916DA">
      <w:r w:rsidRPr="00A916DA">
        <w:t>и жилищно-коммунального хозяйства</w:t>
      </w:r>
    </w:p>
    <w:p w:rsidR="00A916DA" w:rsidRPr="00A916DA" w:rsidRDefault="00A916DA" w:rsidP="00A916DA">
      <w:r w:rsidRPr="00A916DA">
        <w:t>Российской Федерации</w:t>
      </w:r>
    </w:p>
    <w:p w:rsidR="00A916DA" w:rsidRPr="00A916DA" w:rsidRDefault="00A916DA" w:rsidP="00A916DA">
      <w:r w:rsidRPr="00A916DA">
        <w:t>от 18 апреля 2019 г. N 228/</w:t>
      </w:r>
      <w:proofErr w:type="spellStart"/>
      <w:r w:rsidRPr="00A916DA">
        <w:t>пр</w:t>
      </w:r>
      <w:proofErr w:type="spellEnd"/>
    </w:p>
    <w:p w:rsidR="00A916DA" w:rsidRPr="00A916DA" w:rsidRDefault="00A916DA" w:rsidP="00A916DA">
      <w:pPr>
        <w:rPr>
          <w:b/>
          <w:bCs/>
        </w:rPr>
      </w:pPr>
      <w:bookmarkStart w:id="0" w:name="100712"/>
      <w:bookmarkEnd w:id="0"/>
      <w:r w:rsidRPr="00A916DA">
        <w:rPr>
          <w:b/>
          <w:bCs/>
        </w:rPr>
        <w:t>МЕТОДИКА</w:t>
      </w:r>
    </w:p>
    <w:p w:rsidR="00A916DA" w:rsidRPr="00A916DA" w:rsidRDefault="00A916DA" w:rsidP="00A916DA">
      <w:pPr>
        <w:rPr>
          <w:b/>
          <w:bCs/>
        </w:rPr>
      </w:pPr>
      <w:r w:rsidRPr="00A916DA">
        <w:rPr>
          <w:b/>
          <w:bCs/>
        </w:rPr>
        <w:t>РАСЧЕТА ПОКАЗАТЕЛЯ "ДОЛЯ ОБЪЕМА ЗАКУПОК</w:t>
      </w:r>
    </w:p>
    <w:p w:rsidR="00A916DA" w:rsidRPr="00A916DA" w:rsidRDefault="00A916DA" w:rsidP="00A916DA">
      <w:pPr>
        <w:rPr>
          <w:b/>
          <w:bCs/>
        </w:rPr>
      </w:pPr>
      <w:r w:rsidRPr="00A916DA">
        <w:rPr>
          <w:b/>
          <w:bCs/>
        </w:rPr>
        <w:t>ОБОРУДОВАНИЯ, ИМЕЮЩЕГО РОССИЙСКОЕ ПРОИСХОЖДЕНИЕ,</w:t>
      </w:r>
    </w:p>
    <w:p w:rsidR="00A916DA" w:rsidRPr="00A916DA" w:rsidRDefault="00A916DA" w:rsidP="00A916DA">
      <w:pPr>
        <w:rPr>
          <w:b/>
          <w:bCs/>
        </w:rPr>
      </w:pPr>
      <w:r w:rsidRPr="00A916DA">
        <w:rPr>
          <w:b/>
          <w:bCs/>
        </w:rPr>
        <w:t>В ТОМ ЧИСЛЕ ОБОРУДОВАНИЯ, ЗАКУПАЕМОГО ПРИ ВЫПОЛНЕНИИ РАБОТ,</w:t>
      </w:r>
    </w:p>
    <w:p w:rsidR="00A916DA" w:rsidRPr="00A916DA" w:rsidRDefault="00A916DA" w:rsidP="00A916DA">
      <w:pPr>
        <w:rPr>
          <w:b/>
          <w:bCs/>
        </w:rPr>
      </w:pPr>
      <w:r w:rsidRPr="00A916DA">
        <w:rPr>
          <w:b/>
          <w:bCs/>
        </w:rPr>
        <w:t>В ОБЩЕМ ОБЪЕМЕ ОБОРУДОВАНИЯ, ЗАКУПЛЕННОГО В РАМКАХ</w:t>
      </w:r>
    </w:p>
    <w:p w:rsidR="00A916DA" w:rsidRPr="00A916DA" w:rsidRDefault="00A916DA" w:rsidP="00A916DA">
      <w:pPr>
        <w:rPr>
          <w:b/>
          <w:bCs/>
        </w:rPr>
      </w:pPr>
      <w:r w:rsidRPr="00A916DA">
        <w:rPr>
          <w:b/>
          <w:bCs/>
        </w:rPr>
        <w:t>РЕАЛИЗАЦИИ МЕРОПРИЯТИЙ ГОСУДАРСТВЕННЫХ (МУНИЦИПАЛЬНЫХ)</w:t>
      </w:r>
    </w:p>
    <w:p w:rsidR="00A916DA" w:rsidRPr="00A916DA" w:rsidRDefault="00A916DA" w:rsidP="00A916DA">
      <w:pPr>
        <w:rPr>
          <w:b/>
          <w:bCs/>
        </w:rPr>
      </w:pPr>
      <w:r w:rsidRPr="00A916DA">
        <w:rPr>
          <w:b/>
          <w:bCs/>
        </w:rPr>
        <w:t>ПРОГРАММ ФОРМИРОВАНИЯ СОВРЕМЕННОЙ ГОРОДСКОЙ СРЕДЫ"</w:t>
      </w:r>
    </w:p>
    <w:p w:rsidR="00A916DA" w:rsidRPr="00A916DA" w:rsidRDefault="00A916DA" w:rsidP="00A916DA">
      <w:bookmarkStart w:id="1" w:name="100843"/>
      <w:bookmarkStart w:id="2" w:name="100713"/>
      <w:bookmarkEnd w:id="1"/>
      <w:bookmarkEnd w:id="2"/>
      <w:r w:rsidRPr="00A916DA">
        <w:t>1. Настоящая Методика определяет порядок расчета Министерством строительства и жилищно-коммунального хозяйства Российской Федерации (далее - Министерство) показателя "Доля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государственных (муниципальных) программ формирования современной городской среды" (далее - Показатель), предусмотренного </w:t>
      </w:r>
      <w:hyperlink r:id="rId4" w:history="1">
        <w:r w:rsidRPr="00A916DA">
          <w:rPr>
            <w:rStyle w:val="a3"/>
          </w:rPr>
          <w:t>разделом 2</w:t>
        </w:r>
      </w:hyperlink>
      <w:r w:rsidRPr="00A916DA">
        <w:t> паспорта национального проекта "Жилье и городская среда", утвержденного протоколом заседания президиума Совета при Президенте Российской Федерации по стратегическому развитию и национальным проектам от 24 декабря 2018 г. N 16 (с учетом изменений по протоколу заседания от 2 июля 2020 г. N 6) (далее - паспорт национального проекта "Жилье и городская среда"), и разработана в соответствии с пунктом 3 статьи 7 Федерального закона от 29 ноября 2007 г. N 282-ФЗ "Об официальном статистическом учете и системе государственной статистики в Российской Федерации".</w:t>
      </w:r>
    </w:p>
    <w:p w:rsidR="00A916DA" w:rsidRPr="00A916DA" w:rsidRDefault="00A916DA" w:rsidP="00A916DA">
      <w:bookmarkStart w:id="3" w:name="100931"/>
      <w:bookmarkStart w:id="4" w:name="100714"/>
      <w:bookmarkEnd w:id="3"/>
      <w:bookmarkEnd w:id="4"/>
      <w:r w:rsidRPr="00A916DA">
        <w:t>1.1. Формирование официальной статистической информации по Показателю осуществляется на федеральном уровне с годовой и ежемесячной периодичностью в целом по Российской Федерации, субъектам Российской Федерации.</w:t>
      </w:r>
    </w:p>
    <w:p w:rsidR="00A916DA" w:rsidRPr="00A916DA" w:rsidRDefault="00A916DA" w:rsidP="00A916DA">
      <w:bookmarkStart w:id="5" w:name="100932"/>
      <w:bookmarkStart w:id="6" w:name="100715"/>
      <w:bookmarkEnd w:id="5"/>
      <w:bookmarkEnd w:id="6"/>
      <w:r w:rsidRPr="00A916DA">
        <w:t>1.2. Срок предоставления (распространения) официальной статистической информации - 20 число месяца, следующего за отчетным месяцем; за отчетный год - 1 февраля года, следующего за отчетным годом.</w:t>
      </w:r>
    </w:p>
    <w:p w:rsidR="00A916DA" w:rsidRPr="00A916DA" w:rsidRDefault="00A916DA" w:rsidP="00A916DA">
      <w:bookmarkStart w:id="7" w:name="100716"/>
      <w:bookmarkEnd w:id="7"/>
      <w:r w:rsidRPr="00A916DA">
        <w:t>1.3. Субъектом официального статистического учета, формирующим официальную статистическую информацию по Показателю, является Министерство.</w:t>
      </w:r>
    </w:p>
    <w:p w:rsidR="00A916DA" w:rsidRPr="00A916DA" w:rsidRDefault="00A916DA" w:rsidP="00A916DA">
      <w:bookmarkStart w:id="8" w:name="000005"/>
      <w:bookmarkStart w:id="9" w:name="100717"/>
      <w:bookmarkEnd w:id="8"/>
      <w:bookmarkEnd w:id="9"/>
      <w:r w:rsidRPr="00A916DA">
        <w:t>2. Для расчета Показателя используются административные данные, содержащие отчетность об объемах закупленного оборудования, в том числе оборудования, закупаемого при выполнении работ, в рамках реализации государственных (муниципальных) программ формирования современной городской среды, за отчетный период, представляемые в Министерство высшими должностными лицами (руководителями высших исполнительных органов государственной власти) субъектов Российской Федерации.</w:t>
      </w:r>
    </w:p>
    <w:p w:rsidR="00A916DA" w:rsidRPr="00A916DA" w:rsidRDefault="00A916DA" w:rsidP="00A916DA">
      <w:bookmarkStart w:id="10" w:name="100718"/>
      <w:bookmarkEnd w:id="10"/>
      <w:r w:rsidRPr="00A916DA">
        <w:lastRenderedPageBreak/>
        <w:t>3. Состав оборудования, имеющего российское происхождение, необходимого для реализации федерального </w:t>
      </w:r>
      <w:hyperlink r:id="rId5" w:history="1">
        <w:r w:rsidRPr="00A916DA">
          <w:rPr>
            <w:rStyle w:val="a3"/>
          </w:rPr>
          <w:t>проекта</w:t>
        </w:r>
      </w:hyperlink>
      <w:r w:rsidRPr="00A916DA">
        <w:t> "Формирование комфортной городской среды", в том числе оборудования, закупаемого при выполнении работ в рамках реализации мероприятий государственных программ (подпрограмм) субъектов Российской Федерации и муниципальных программ (подпрограмм) формирования современной городской среды в рамках федерального </w:t>
      </w:r>
      <w:hyperlink r:id="rId6" w:history="1">
        <w:r w:rsidRPr="00A916DA">
          <w:rPr>
            <w:rStyle w:val="a3"/>
          </w:rPr>
          <w:t>проекта</w:t>
        </w:r>
      </w:hyperlink>
      <w:r w:rsidRPr="00A916DA">
        <w:t> "Формирование комфортной городской среды" в составе государственной программы Российской Федерации "Обеспечение доступным и комфортным жильем и коммунальными услугами граждан Российской Федерации" (далее - государственных (муниципальных) программ современной городской среды), используемый для расчета Показателя, определяется на основании </w:t>
      </w:r>
      <w:hyperlink r:id="rId7" w:anchor="Sru51cRS6nNc" w:history="1">
        <w:r w:rsidRPr="00A916DA">
          <w:rPr>
            <w:rStyle w:val="a3"/>
          </w:rPr>
          <w:t>перечня</w:t>
        </w:r>
      </w:hyperlink>
      <w:r w:rsidRPr="00A916DA">
        <w:t> отдельных видов промышленных товаров, происходящих из иностранных государств (за исключением государств - членов Евразийского экономического союза), в отношении которых устанавливаются ограничения допуска для целей осуществления закупок для обеспечения государственных и муниципальных нужд, утвержденного постановлением Правительства Российской Федерации от 30 апреля 2020 г. N 617 "Об ограничениях допуска отдельных видов промышленных товаров, происходящих из иностранных государств, для целей осуществления закупок для обеспечения государственных и муниципальных нужд", согласно коду в соответствии с Общероссийским классификатором продукции по видам экономической деятельности ОК 034-2014 (КПЕС 2008):</w:t>
      </w:r>
    </w:p>
    <w:p w:rsidR="00A916DA" w:rsidRPr="00A916DA" w:rsidRDefault="00A916DA" w:rsidP="00A916DA">
      <w:bookmarkStart w:id="11" w:name="100719"/>
      <w:bookmarkEnd w:id="11"/>
      <w:r w:rsidRPr="00A916DA">
        <w:t>площадки спортивные для спортивных игр на открытом воздухе (42.99.12.110).</w:t>
      </w:r>
    </w:p>
    <w:p w:rsidR="00A916DA" w:rsidRPr="00A916DA" w:rsidRDefault="00A916DA" w:rsidP="00A916DA">
      <w:bookmarkStart w:id="12" w:name="100844"/>
      <w:bookmarkEnd w:id="12"/>
      <w:r w:rsidRPr="00A916DA">
        <w:t>При определении состава оборудования, имеющего российское происхождение, необходимого для реализации федерального </w:t>
      </w:r>
      <w:hyperlink r:id="rId8" w:history="1">
        <w:r w:rsidRPr="00A916DA">
          <w:rPr>
            <w:rStyle w:val="a3"/>
          </w:rPr>
          <w:t>проекта</w:t>
        </w:r>
      </w:hyperlink>
      <w:r w:rsidRPr="00A916DA">
        <w:t> "Формирование комфортной городской среды", в том числе оборудования, закупаемого при выполнении работ в рамках реализации мероприятий государственных (муниципальных) программ современной городской среды, используемого для расчета Показателя, также учитывается оборудование для занятий спортом или для игр на открытом воздухе, в том числе оборудование, закупаемое при выполнении работ в рамках реализации мероприятий государственных (муниципальных) программ современной городской среды, согласно иным кодам Общероссийским классификатором продукции по видам экономической деятельности ОК 034-2014 (КПЕС 2008) и кодам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(ТН ВЭД).</w:t>
      </w:r>
    </w:p>
    <w:p w:rsidR="00A916DA" w:rsidRPr="00A916DA" w:rsidRDefault="00A916DA" w:rsidP="00A916DA">
      <w:bookmarkStart w:id="13" w:name="100720"/>
      <w:bookmarkEnd w:id="13"/>
      <w:r w:rsidRPr="00A916DA">
        <w:t>4. Критерий подтверждения производства оборудования, в том числе оборудования, закупаемого при выполнении работ в рамках реализации государственных (муниципальных) программ формирования современной городской среды, устанавливается в соответствии с подпунктом "в" пункта 1 постановления Правительства Российской Федерации от 17 июля 2015 г. N 719 "О подтверждении производства промышленной продукции на территории Российской Федерации".</w:t>
      </w:r>
    </w:p>
    <w:p w:rsidR="00A916DA" w:rsidRPr="00A916DA" w:rsidRDefault="00A916DA" w:rsidP="00A916DA">
      <w:bookmarkStart w:id="14" w:name="100721"/>
      <w:bookmarkEnd w:id="14"/>
      <w:r w:rsidRPr="00A916DA">
        <w:t>5. Расчет Показателя осуществляется по формуле:</w:t>
      </w:r>
    </w:p>
    <w:p w:rsidR="00A916DA" w:rsidRPr="00A916DA" w:rsidRDefault="00A916DA" w:rsidP="00A916DA">
      <w:pPr>
        <w:rPr>
          <w:b/>
          <w:bCs/>
        </w:rPr>
      </w:pPr>
      <w:bookmarkStart w:id="15" w:name="100722"/>
      <w:bookmarkEnd w:id="15"/>
      <w:r w:rsidRPr="00A916DA">
        <w:drawing>
          <wp:inline distT="0" distB="0" distL="0" distR="0">
            <wp:extent cx="1190625" cy="314325"/>
            <wp:effectExtent l="0" t="0" r="9525" b="9525"/>
            <wp:docPr id="1" name="Рисунок 1" descr="C:\Users\n.gavrilina\AppData\Local\Microsoft\Windows\INetCache\Content.MSO\4C42357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.gavrilina\AppData\Local\Microsoft\Windows\INetCache\Content.MSO\4C423577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6DA" w:rsidRPr="00A916DA" w:rsidRDefault="00A916DA" w:rsidP="00A916DA">
      <w:bookmarkStart w:id="16" w:name="100723"/>
      <w:bookmarkEnd w:id="16"/>
      <w:r w:rsidRPr="00A916DA">
        <w:t>где:</w:t>
      </w:r>
    </w:p>
    <w:p w:rsidR="00A916DA" w:rsidRPr="00A916DA" w:rsidRDefault="00A916DA" w:rsidP="00A916DA">
      <w:bookmarkStart w:id="17" w:name="100724"/>
      <w:bookmarkEnd w:id="17"/>
      <w:r w:rsidRPr="00A916DA">
        <w:t>DРП ФКГС - 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государственных (муниципальных) программ формирования современной городской среды, за отчетный период, процент (округляется до целого значения);</w:t>
      </w:r>
    </w:p>
    <w:p w:rsidR="00A916DA" w:rsidRPr="00A916DA" w:rsidRDefault="00A916DA" w:rsidP="00A916DA">
      <w:bookmarkStart w:id="18" w:name="100933"/>
      <w:bookmarkStart w:id="19" w:name="100725"/>
      <w:bookmarkEnd w:id="18"/>
      <w:bookmarkEnd w:id="19"/>
      <w:r w:rsidRPr="00A916DA">
        <w:t xml:space="preserve">VРП ФКГС - объем закупленного оборудования, имеющего российское происхождение, в том числе оборудования, закупленного при выполнении работ в рамках реализации мероприятий </w:t>
      </w:r>
      <w:r w:rsidRPr="00A916DA">
        <w:lastRenderedPageBreak/>
        <w:t>государственных (муниципальных) программ формирования современной городской среды, нарастающим итогом, начиная с 2019 года, за отчетный период, в млн руб.;</w:t>
      </w:r>
    </w:p>
    <w:p w:rsidR="00A916DA" w:rsidRPr="00A916DA" w:rsidRDefault="00A916DA" w:rsidP="00A916DA">
      <w:bookmarkStart w:id="20" w:name="100934"/>
      <w:bookmarkStart w:id="21" w:name="100726"/>
      <w:bookmarkEnd w:id="20"/>
      <w:bookmarkEnd w:id="21"/>
      <w:r w:rsidRPr="00A916DA">
        <w:t>VФКГС - общий объем закупленного оборудования, в том числе оборудования, закупленного при выполнении работ в рамках реализации мероприятий государственных (муниципальных) программ формирования современной городской среды, нарастающим итогом, начиная с 2019 года, за отчетный период, млн руб.</w:t>
      </w:r>
    </w:p>
    <w:p w:rsidR="00A323A0" w:rsidRDefault="00A916DA">
      <w:bookmarkStart w:id="22" w:name="_GoBack"/>
      <w:bookmarkEnd w:id="22"/>
    </w:p>
    <w:sectPr w:rsidR="00A32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889"/>
    <w:rsid w:val="004B1C4E"/>
    <w:rsid w:val="00534BB7"/>
    <w:rsid w:val="00826889"/>
    <w:rsid w:val="00A916DA"/>
    <w:rsid w:val="00A9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130F0-933E-43F4-8DF3-1F2E28E2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16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2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pasport-federalnogo-proekta-formirovanie-komfortnoi-gorodskoi-sred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udact.ru/law/postanovlenie-pravitelstva-rf-ot-30042020-n-61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dact.ru/law/pasport-federalnogo-proekta-formirovanie-komfortnoi-gorodskoi-sredy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udact.ru/law/pasport-federalnogo-proekta-formirovanie-komfortnoi-gorodskoi-sredy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udact.ru/law/pasport-natsionalnogo-proekta-zhile-i-gorodskaia-sreda/pasport/2/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1042</Words>
  <Characters>5941</Characters>
  <Application>Microsoft Office Word</Application>
  <DocSecurity>0</DocSecurity>
  <Lines>49</Lines>
  <Paragraphs>13</Paragraphs>
  <ScaleCrop>false</ScaleCrop>
  <Company>SafeTec</Company>
  <LinksUpToDate>false</LinksUpToDate>
  <CharactersWithSpaces>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Гаврилина Наталья Михайловна</dc:creator>
  <cp:keywords/>
  <dc:description/>
  <cp:lastModifiedBy>Гаврилина Наталья Михайловна</cp:lastModifiedBy>
  <cp:revision>2</cp:revision>
  <dcterms:created xsi:type="dcterms:W3CDTF">2021-11-03T06:48:00Z</dcterms:created>
  <dcterms:modified xsi:type="dcterms:W3CDTF">2021-11-03T06:49:00Z</dcterms:modified>
</cp:coreProperties>
</file>