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A5" w:rsidRDefault="00A823A5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45C8A" w:rsidRPr="00545C8A" w:rsidRDefault="00545C8A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D1343" w:rsidRPr="00740E61" w:rsidRDefault="00586FD1">
      <w:pPr>
        <w:jc w:val="center"/>
        <w:rPr>
          <w:rFonts w:ascii="Times New Roman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>Программ</w:t>
      </w:r>
      <w:r w:rsidR="00740E61" w:rsidRPr="00740E61">
        <w:rPr>
          <w:rFonts w:ascii="Times New Roman" w:hAnsi="Times New Roman"/>
          <w:b/>
          <w:bCs/>
          <w:sz w:val="28"/>
          <w:szCs w:val="28"/>
        </w:rPr>
        <w:t>а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сфере регионального к</w:t>
      </w:r>
      <w:r w:rsidR="00545C8A">
        <w:rPr>
          <w:rFonts w:ascii="Times New Roman" w:hAnsi="Times New Roman"/>
          <w:b/>
          <w:bCs/>
          <w:sz w:val="28"/>
          <w:szCs w:val="28"/>
        </w:rPr>
        <w:t>онтроля (надзора) за приемом на</w:t>
      </w:r>
      <w:r w:rsidR="00545C8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работу инвалидов в пределах установленной квоты на </w:t>
      </w:r>
      <w:r w:rsidR="00545C8A" w:rsidRPr="00545C8A">
        <w:rPr>
          <w:rFonts w:ascii="Times New Roman" w:hAnsi="Times New Roman"/>
          <w:b/>
          <w:bCs/>
          <w:sz w:val="28"/>
          <w:szCs w:val="28"/>
        </w:rPr>
        <w:t>2024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343" w:rsidRPr="00740E6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0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:rsidR="004D1343" w:rsidRPr="00740E61" w:rsidRDefault="004D1343">
      <w:pPr>
        <w:widowControl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480"/>
      </w:tblGrid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0" w:type="dxa"/>
            <w:vAlign w:val="center"/>
          </w:tcPr>
          <w:p w:rsidR="004D1343" w:rsidRDefault="00586FD1" w:rsidP="00704624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в сфере регионального государ</w:t>
            </w:r>
            <w:r w:rsid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ственного контроля (надзора) за</w:t>
            </w:r>
            <w:r w:rsid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приемом на работу инвалидов в пределах установленной квоты на </w:t>
            </w:r>
            <w:r w:rsidR="00545C8A" w:rsidRP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(далее – программа профилактики)</w:t>
            </w:r>
          </w:p>
          <w:p w:rsidR="00704624" w:rsidRPr="00740E61" w:rsidRDefault="00704624" w:rsidP="00704624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480" w:type="dxa"/>
            <w:vAlign w:val="center"/>
          </w:tcPr>
          <w:p w:rsidR="004D1343" w:rsidRPr="00740E61" w:rsidRDefault="00545C8A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31 июля 2020 года № 248-ФЗ «О 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4D1343" w:rsidRPr="00740E61" w:rsidRDefault="00545C8A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Правительства Российской Федерации от 25 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4D1343" w:rsidRPr="00740E61" w:rsidRDefault="004D1343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80" w:type="dxa"/>
            <w:vAlign w:val="center"/>
          </w:tcPr>
          <w:p w:rsidR="004D1343" w:rsidRPr="00085958" w:rsidRDefault="00545C8A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труду и занятости населения Ленинградской области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480" w:type="dxa"/>
            <w:vAlign w:val="center"/>
          </w:tcPr>
          <w:p w:rsidR="00F5651E" w:rsidRPr="00740E61" w:rsidRDefault="00CC4BA9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F5651E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5651E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овышение эффективности осуществления контрольно-надзорной деятельности</w:t>
            </w:r>
            <w:r w:rsidR="00F56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CC4BA9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стимулирование добросовестного соблюдения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 в области квотирования рабочих мест, </w:t>
            </w:r>
            <w:r w:rsidR="00586FD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нормативными правовыми актами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субъекта</w:t>
            </w:r>
            <w:r w:rsidR="00603D29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обязательные требования),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 контролируемыми лицами;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контролируемыми лицами установленной квоты для приема на работу инвалидов в полном объеме;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административной нагрузки на работодателей;</w:t>
            </w:r>
          </w:p>
          <w:p w:rsidR="004D1343" w:rsidRDefault="00CC4BA9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напряженности на региональном рынке труда среди граждан, имеющих инвалидность</w:t>
            </w:r>
            <w:r w:rsidR="00740E6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занятости</w:t>
            </w:r>
            <w:r w:rsidR="00740E61" w:rsidRPr="00AE3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граждан, имеющих инвалидность</w:t>
            </w:r>
            <w:r w:rsidRPr="00CC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04624" w:rsidRPr="00CC4BA9" w:rsidRDefault="00704624" w:rsidP="00CC4BA9">
            <w:pPr>
              <w:widowControl/>
              <w:shd w:val="clear" w:color="auto" w:fill="FFFFFF"/>
              <w:tabs>
                <w:tab w:val="left" w:pos="334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480" w:type="dxa"/>
            <w:vAlign w:val="center"/>
          </w:tcPr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должностных лиц </w:t>
            </w:r>
            <w:r w:rsid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органов исполнительной власти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осуществляющих региональный государственный контроль (надзор) за приемом на работу инвалидов в пределах установленной квоты (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–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государственный контроль (надзор));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:rsidR="004D1343" w:rsidRPr="00704624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</w:t>
            </w:r>
            <w:r w:rsidR="00704624" w:rsidRPr="007046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4624" w:rsidRPr="00704624" w:rsidRDefault="00704624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480" w:type="dxa"/>
            <w:vAlign w:val="center"/>
          </w:tcPr>
          <w:p w:rsidR="004D1343" w:rsidRPr="00CC4BA9" w:rsidRDefault="00CC4BA9" w:rsidP="009D7C20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 – декабрь 202</w:t>
            </w:r>
            <w:r w:rsidR="009D7C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480" w:type="dxa"/>
            <w:vAlign w:val="center"/>
          </w:tcPr>
          <w:p w:rsidR="004D1343" w:rsidRPr="00CC4BA9" w:rsidRDefault="004D1343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D1343" w:rsidRPr="00740E61" w:rsidTr="00CC4BA9">
        <w:tc>
          <w:tcPr>
            <w:tcW w:w="2376" w:type="dxa"/>
            <w:vAlign w:val="center"/>
          </w:tcPr>
          <w:p w:rsidR="004D1343" w:rsidRPr="00740E6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80" w:type="dxa"/>
            <w:vAlign w:val="center"/>
          </w:tcPr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46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рисков причинения вреда охраняемым законом ценностям;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доли законопослушных контролируемых лиц;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259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квалифицированной профилактической работы должностных 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лиц 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прозрачности профилактической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266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административной нагрузки на контролируемых лиц;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60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правовой грамотности контролируемых лиц;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360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контролируемыми лицами;</w:t>
            </w:r>
          </w:p>
          <w:p w:rsidR="004D1343" w:rsidRPr="00740E61" w:rsidRDefault="00CC4BA9" w:rsidP="00CC4BA9">
            <w:pPr>
              <w:widowControl/>
              <w:shd w:val="clear" w:color="auto" w:fill="FFFFFF"/>
              <w:tabs>
                <w:tab w:val="left" w:pos="259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мотивация контролируемых лиц к добросовестному поведению;</w:t>
            </w:r>
          </w:p>
          <w:p w:rsidR="004D1343" w:rsidRPr="00740E61" w:rsidRDefault="00CC4BA9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контролируемыми лицами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установленной квоты для приема на работу инвалидов в полном объеме</w:t>
            </w:r>
          </w:p>
        </w:tc>
      </w:tr>
      <w:tr w:rsidR="004D1343" w:rsidTr="00CC4BA9">
        <w:tc>
          <w:tcPr>
            <w:tcW w:w="2376" w:type="dxa"/>
            <w:vAlign w:val="center"/>
          </w:tcPr>
          <w:p w:rsidR="004D1343" w:rsidRPr="00AB20F1" w:rsidRDefault="00586FD1" w:rsidP="00CC4BA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480" w:type="dxa"/>
            <w:vAlign w:val="center"/>
          </w:tcPr>
          <w:p w:rsidR="004D1343" w:rsidRPr="00AB20F1" w:rsidRDefault="00586FD1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1.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</w:t>
            </w:r>
          </w:p>
          <w:p w:rsidR="002B4129" w:rsidRDefault="00586FD1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Описание текущего развития профилактической деятельности </w:t>
            </w:r>
            <w:r w:rsidR="002B4129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 контроля (надзора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D1343" w:rsidRPr="00AB20F1" w:rsidRDefault="00586FD1" w:rsidP="00CC4BA9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 Характеристика проблем, на решение которых направлена программа профилактики</w:t>
            </w:r>
          </w:p>
          <w:p w:rsidR="004D1343" w:rsidRPr="00AB20F1" w:rsidRDefault="00586FD1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Цели и задачи реализации программы профилактики</w:t>
            </w:r>
          </w:p>
          <w:p w:rsidR="004D1343" w:rsidRPr="00AB20F1" w:rsidRDefault="00586FD1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</w:t>
            </w:r>
          </w:p>
          <w:p w:rsidR="004D1343" w:rsidRPr="00AB20F1" w:rsidRDefault="00586FD1" w:rsidP="00CC4BA9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4. Показатели результативности и эффективности программы профилактики</w:t>
            </w:r>
          </w:p>
        </w:tc>
      </w:tr>
    </w:tbl>
    <w:p w:rsidR="004D1343" w:rsidRDefault="004D1343">
      <w:pPr>
        <w:jc w:val="center"/>
        <w:rPr>
          <w:rFonts w:cs="Arial"/>
          <w:b/>
          <w:sz w:val="24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085958" w:rsidRDefault="00085958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2B4129" w:rsidRDefault="002B4129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704624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1.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</w:t>
      </w:r>
      <w:r w:rsidR="007046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екущего состояния осуществления</w:t>
      </w: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приемом на работу инвалидов в пределах установленной квоты </w:t>
      </w:r>
    </w:p>
    <w:p w:rsid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1343" w:rsidRPr="002D40F4" w:rsidRDefault="002D40F4" w:rsidP="007B101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 осуществляемого </w:t>
      </w:r>
      <w:r w:rsidR="00704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 по труду и занятости населения Ленинградской области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228F" w:rsidRPr="002B4129" w:rsidRDefault="00586FD1" w:rsidP="00125E45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1.1. Описание текущего развития профилактической деятельности </w:t>
      </w:r>
      <w:r w:rsidR="002B4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2B4129" w:rsidRPr="002B4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</w:p>
    <w:p w:rsidR="009D228F" w:rsidRPr="009D228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Обязательные требования к осуществлению деятельности юридических лиц и индивидуальных предпринимателей в област</w:t>
      </w:r>
      <w:r w:rsidR="00704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квотирования рабочих мест для 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приема на работу инвалидов установлены нормативными правовыми актами Российской Федерации и нормативными правовыми актами </w:t>
      </w:r>
      <w:r w:rsidR="002B4129" w:rsidRPr="00AE39C1">
        <w:rPr>
          <w:rFonts w:ascii="Times New Roman" w:eastAsia="Times New Roman" w:hAnsi="Times New Roman"/>
          <w:sz w:val="28"/>
          <w:szCs w:val="28"/>
          <w:lang w:eastAsia="ru-RU"/>
        </w:rPr>
        <w:t>субъекта Российской Федерации</w:t>
      </w:r>
      <w:r w:rsidR="002B4129" w:rsidRPr="00740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обязательны для исполнения:</w:t>
      </w:r>
    </w:p>
    <w:p w:rsidR="004C19FA" w:rsidRDefault="009D228F" w:rsidP="007B1019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FA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13.2 Закона Российской Федераци</w:t>
      </w:r>
      <w:r w:rsidR="004C19FA" w:rsidRPr="004C19FA">
        <w:rPr>
          <w:rFonts w:ascii="Times New Roman" w:eastAsia="Times New Roman" w:hAnsi="Times New Roman"/>
          <w:sz w:val="28"/>
          <w:szCs w:val="28"/>
          <w:lang w:eastAsia="ru-RU"/>
        </w:rPr>
        <w:t>и от 19 апреля 1991 года № 1032–1</w:t>
      </w:r>
      <w:r w:rsidRPr="004C19F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занятости населения в Российс</w:t>
      </w:r>
      <w:r w:rsidR="004C19FA" w:rsidRPr="004C19FA">
        <w:rPr>
          <w:rFonts w:ascii="Times New Roman" w:eastAsia="Times New Roman" w:hAnsi="Times New Roman"/>
          <w:sz w:val="28"/>
          <w:szCs w:val="28"/>
          <w:lang w:eastAsia="ru-RU"/>
        </w:rPr>
        <w:t>кой Федерации» (далее – Закон о </w:t>
      </w:r>
      <w:r w:rsidRPr="004C19FA">
        <w:rPr>
          <w:rFonts w:ascii="Times New Roman" w:eastAsia="Times New Roman" w:hAnsi="Times New Roman"/>
          <w:sz w:val="28"/>
          <w:szCs w:val="28"/>
          <w:lang w:eastAsia="ru-RU"/>
        </w:rPr>
        <w:t>занятости):</w:t>
      </w:r>
    </w:p>
    <w:p w:rsidR="004C19FA" w:rsidRPr="004C19FA" w:rsidRDefault="009D228F" w:rsidP="007B1019">
      <w:pPr>
        <w:pStyle w:val="a3"/>
        <w:widowControl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квота для приема на работу инвалидов работодателям</w:t>
      </w:r>
      <w:r w:rsidR="00D01CA5"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C19FA" w:rsidRPr="004C19FA" w:rsidRDefault="009D228F" w:rsidP="007B1019">
      <w:pPr>
        <w:pStyle w:val="a3"/>
        <w:widowControl/>
        <w:numPr>
          <w:ilvl w:val="2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</w:t>
      </w:r>
      <w:proofErr w:type="gramStart"/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proofErr w:type="gramEnd"/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превышает 100 человек, в размере от 2 до 4 процентов среднесписочной численности работников;</w:t>
      </w:r>
    </w:p>
    <w:p w:rsidR="00772F15" w:rsidRPr="004C19FA" w:rsidRDefault="00772F15" w:rsidP="007B1019">
      <w:pPr>
        <w:pStyle w:val="a3"/>
        <w:widowControl/>
        <w:numPr>
          <w:ilvl w:val="2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</w:t>
      </w:r>
      <w:proofErr w:type="gramStart"/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proofErr w:type="gramEnd"/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превышает 35</w:t>
      </w:r>
      <w:r w:rsidR="00D01CA5"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100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D01CA5"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включительно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размере </w:t>
      </w:r>
      <w:r w:rsidR="00D01CA5"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3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процентов среднесписочной численности работников;</w:t>
      </w:r>
    </w:p>
    <w:p w:rsidR="009D228F" w:rsidRPr="004C19FA" w:rsidRDefault="009D228F" w:rsidP="007B1019">
      <w:pPr>
        <w:pStyle w:val="a3"/>
        <w:widowControl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квота для приема на работу инвалидов считается выполненной работодателем </w:t>
      </w:r>
      <w:proofErr w:type="gramStart"/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оформления в установленном порядке трудовых отношений с инвалидами в рамках исполнения</w:t>
      </w:r>
      <w:r w:rsid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работодателем обязанности по</w:t>
      </w:r>
      <w:r w:rsidR="004C19F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трудоустройству</w:t>
      </w:r>
      <w:proofErr w:type="gramEnd"/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инвалидов в соответствии с установленной квотой.</w:t>
      </w:r>
    </w:p>
    <w:p w:rsidR="009D228F" w:rsidRPr="009D228F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753E5">
        <w:rPr>
          <w:rFonts w:ascii="Times New Roman" w:eastAsia="Times New Roman" w:hAnsi="Times New Roman"/>
          <w:sz w:val="28"/>
          <w:szCs w:val="28"/>
          <w:lang w:eastAsia="ru-RU"/>
        </w:rPr>
        <w:t>татьей 2 областного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кона Ленинградской области от </w:t>
      </w:r>
      <w:r w:rsidRPr="00A753E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2003 № </w:t>
      </w:r>
      <w:r w:rsidRPr="00A753E5">
        <w:rPr>
          <w:rFonts w:ascii="Times New Roman" w:eastAsia="Times New Roman" w:hAnsi="Times New Roman"/>
          <w:sz w:val="28"/>
          <w:szCs w:val="28"/>
          <w:lang w:eastAsia="ru-RU"/>
        </w:rPr>
        <w:t xml:space="preserve">74-оз «О квотировании рабочих мест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трудоустройства инвалидов в </w:t>
      </w:r>
      <w:r w:rsidRPr="00A753E5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области»</w:t>
      </w:r>
      <w:r w:rsidR="002B4129" w:rsidRPr="00740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обязательная </w:t>
      </w:r>
      <w:r w:rsidR="004C5943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квота </w:t>
      </w:r>
      <w:r w:rsidR="004C5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работодателям, у </w:t>
      </w:r>
      <w:r w:rsidRPr="00A753E5">
        <w:rPr>
          <w:rFonts w:ascii="Times New Roman" w:hAnsi="Times New Roman"/>
          <w:sz w:val="28"/>
          <w:szCs w:val="28"/>
          <w:shd w:val="clear" w:color="auto" w:fill="FFFFFF"/>
        </w:rPr>
        <w:t>которых численность работников превышает 100 человек, в размере трех процентов от среднесписочной численности работников</w:t>
      </w:r>
      <w:r w:rsidRPr="004C19F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753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753E5">
        <w:rPr>
          <w:rFonts w:ascii="Times New Roman" w:hAnsi="Times New Roman"/>
          <w:sz w:val="28"/>
          <w:szCs w:val="28"/>
          <w:shd w:val="clear" w:color="auto" w:fill="FFFFFF"/>
        </w:rPr>
        <w:t>аботодателям, у которых численность работников составляет от 35 до 100 человек включительно, устанавливается квота для приема на работу инвалидов в</w:t>
      </w:r>
      <w:proofErr w:type="gramEnd"/>
      <w:r w:rsidRPr="00A753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753E5">
        <w:rPr>
          <w:rFonts w:ascii="Times New Roman" w:hAnsi="Times New Roman"/>
          <w:sz w:val="28"/>
          <w:szCs w:val="28"/>
          <w:shd w:val="clear" w:color="auto" w:fill="FFFFFF"/>
        </w:rPr>
        <w:t>размере</w:t>
      </w:r>
      <w:proofErr w:type="gramEnd"/>
      <w:r w:rsidRPr="00A753E5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процента от среднесписочной численности работников.</w:t>
      </w:r>
    </w:p>
    <w:p w:rsidR="009D228F" w:rsidRPr="009D228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абзацу 3 части 3 статьи 25 Закон</w:t>
      </w:r>
      <w:r w:rsid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занятости работодатели обязаны ежемесячно представлять органа</w:t>
      </w:r>
      <w:r w:rsid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службы занятости информацию о 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созданных или выделенных рабочих местах </w:t>
      </w:r>
      <w:r w:rsid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трудоустройства инвалидов </w:t>
      </w:r>
      <w:r w:rsid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 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9D228F" w:rsidRPr="00085958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95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Обязательные требования закреплены </w:t>
      </w:r>
      <w:r w:rsidR="00085958" w:rsidRP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 xml:space="preserve">Законом Ленинградской </w:t>
      </w:r>
      <w:r w:rsid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>области от </w:t>
      </w:r>
      <w:r w:rsidR="00085958" w:rsidRP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>15.10.2003 № 74-оз «</w:t>
      </w:r>
      <w:r w:rsid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 xml:space="preserve">О квотировании рабочих мест для </w:t>
      </w:r>
      <w:r w:rsidR="00085958" w:rsidRPr="00085958">
        <w:rPr>
          <w:rStyle w:val="aff2"/>
          <w:rFonts w:ascii="Times New Roman" w:hAnsi="Times New Roman"/>
          <w:bCs/>
          <w:color w:val="auto"/>
          <w:sz w:val="28"/>
          <w:szCs w:val="28"/>
        </w:rPr>
        <w:t>трудоустройства инвалидов в Ленинградской области»</w:t>
      </w:r>
      <w:r w:rsidRPr="000859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228F" w:rsidRPr="009D228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Профилактические мероприятия осуществляются в отношении работодателей, которым установлена квота для приема на работу инвалидов.</w:t>
      </w:r>
    </w:p>
    <w:p w:rsidR="009D228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работодателей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которых </w:t>
      </w:r>
      <w:r w:rsidR="004C5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распространяется </w:t>
      </w:r>
      <w:r w:rsidR="004C5943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квотировании рабочих мест для приема на работу инвалидов</w:t>
      </w:r>
      <w:r w:rsid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1551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56BEB" w:rsidRDefault="00056BEB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категориям риска:</w:t>
      </w:r>
    </w:p>
    <w:p w:rsidR="00056BEB" w:rsidRPr="004C19FA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56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ысокий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10CD" w:rsidRPr="004C19FA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10CD" w:rsidRPr="004C19FA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</w:t>
      </w:r>
      <w:r w:rsidRPr="004C1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0;</w:t>
      </w:r>
    </w:p>
    <w:p w:rsidR="005710CD" w:rsidRPr="009D7C20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умеренный</w:t>
      </w:r>
      <w:r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9D7C20"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EA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10CD" w:rsidRDefault="004C19FA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5710CD"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</w:t>
      </w:r>
      <w:r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9D7C20" w:rsidRPr="009D7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1539</w:t>
      </w:r>
      <w:r w:rsidR="00EA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6BEB" w:rsidRPr="009D228F" w:rsidRDefault="00056BEB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228F" w:rsidRPr="005E1958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значимыми рисками для охраняемых законом ценностей являются:</w:t>
      </w:r>
    </w:p>
    <w:p w:rsidR="009D228F" w:rsidRPr="005E1958" w:rsidRDefault="007B1019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 работодателем обязанности по созданию (выделению) рабочих мест для трудоустройства инвалидов в соответствии с установленной квотой для приема на работу инвалидов;</w:t>
      </w:r>
    </w:p>
    <w:p w:rsidR="009D228F" w:rsidRPr="005E1958" w:rsidRDefault="007B1019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в приеме на работу инвалида в пределах установленной квоты;</w:t>
      </w:r>
    </w:p>
    <w:p w:rsidR="009D228F" w:rsidRPr="005E1958" w:rsidRDefault="007B1019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несвоевременное представление 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формации о выполнении квоты для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приема на работу инвалидов, предусмотренной законом, а также представление такой информации в неполном объеме и (или) в искаженном виде, что является нарушением части 3 статьи 25 Закона о занятости населения и влечет административную ответственность, предусмотренную статьей 19.7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 Российской Федерации об административных правонарушениях</w:t>
      </w:r>
      <w:r w:rsidR="009D228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91DB9" w:rsidRPr="00B26ADF" w:rsidRDefault="009D228F" w:rsidP="007B1019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B10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26AD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оформления </w:t>
      </w:r>
      <w:proofErr w:type="gramStart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установленном порядке работодателем трудовых отношений с инвалидами в рамках исполнения обязанности по трудоустройству инвалидов в соответствии</w:t>
      </w:r>
      <w:proofErr w:type="gramEnd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установленной квотой</w:t>
      </w:r>
      <w:r w:rsidR="00B26ADF" w:rsidRPr="0060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1343" w:rsidRDefault="00586FD1" w:rsidP="00125E45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 Характеристика проблем, на решение которых направлена программа профилактики</w:t>
      </w:r>
      <w:r w:rsidR="007B1019" w:rsidRPr="007B10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B1019" w:rsidRPr="00326FFB" w:rsidRDefault="007B1019" w:rsidP="007B1019">
      <w:pPr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По состоянию на 1 сентября 202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года сведения о выполнении установленной квоты для приема на работу инвалидов в филиалы Государственного казенного учреждения «Центр занятости населения Ленинградской области» представили </w:t>
      </w:r>
      <w:r w:rsidR="00A55C19">
        <w:rPr>
          <w:rFonts w:ascii="Times New Roman" w:eastAsia="Times New Roman" w:hAnsi="Times New Roman"/>
          <w:sz w:val="28"/>
          <w:szCs w:val="27"/>
          <w:lang w:eastAsia="ru-RU"/>
        </w:rPr>
        <w:t>1539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работодателей. Установленное количество квот для приема на работу инвалидов – </w:t>
      </w:r>
      <w:r w:rsidR="00A55C19">
        <w:rPr>
          <w:rFonts w:ascii="Times New Roman" w:eastAsia="Times New Roman" w:hAnsi="Times New Roman"/>
          <w:sz w:val="28"/>
          <w:szCs w:val="27"/>
          <w:lang w:eastAsia="ru-RU"/>
        </w:rPr>
        <w:t>5298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, в т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ом 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исле на 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квотируемые рабочие места трудоустроен</w:t>
      </w:r>
      <w:r w:rsidR="00A55C19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55C19">
        <w:rPr>
          <w:rFonts w:ascii="Times New Roman" w:eastAsia="Times New Roman" w:hAnsi="Times New Roman"/>
          <w:sz w:val="28"/>
          <w:szCs w:val="27"/>
          <w:lang w:eastAsia="ru-RU"/>
        </w:rPr>
        <w:t>3444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инвалида.</w:t>
      </w:r>
    </w:p>
    <w:p w:rsidR="007B1019" w:rsidRPr="002A1366" w:rsidRDefault="007B1019" w:rsidP="007B1019">
      <w:pPr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>По состоянию на 1 сентября 202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года количество свободных (вакантных) 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квотируемых рабочих мест для трудоустройства инвалидов составляет </w:t>
      </w:r>
      <w:r w:rsidR="00A55C19">
        <w:rPr>
          <w:rFonts w:ascii="Times New Roman" w:eastAsia="Times New Roman" w:hAnsi="Times New Roman"/>
          <w:sz w:val="28"/>
          <w:szCs w:val="27"/>
          <w:lang w:eastAsia="ru-RU"/>
        </w:rPr>
        <w:t>1854</w:t>
      </w:r>
      <w:r w:rsidRPr="00326FFB">
        <w:rPr>
          <w:rFonts w:ascii="Times New Roman" w:eastAsia="Times New Roman" w:hAnsi="Times New Roman"/>
          <w:sz w:val="28"/>
          <w:szCs w:val="27"/>
          <w:lang w:eastAsia="ru-RU"/>
        </w:rPr>
        <w:t xml:space="preserve"> вакансия.</w:t>
      </w:r>
    </w:p>
    <w:p w:rsidR="007B1019" w:rsidRPr="00A753E5" w:rsidRDefault="007B1019" w:rsidP="007B1019">
      <w:pPr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A753E5">
        <w:rPr>
          <w:rFonts w:ascii="Times New Roman" w:eastAsia="Times New Roman" w:hAnsi="Times New Roman"/>
          <w:sz w:val="28"/>
          <w:szCs w:val="27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Pr="00A753E5">
        <w:rPr>
          <w:rFonts w:ascii="Times New Roman" w:eastAsia="Times New Roman" w:hAnsi="Times New Roman"/>
          <w:sz w:val="28"/>
          <w:szCs w:val="27"/>
          <w:lang w:eastAsia="ru-RU"/>
        </w:rPr>
        <w:t xml:space="preserve"> году контрольно-надзорное полномочие в отношении работодателей реализовано путем пров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едения Комитетом</w:t>
      </w:r>
      <w:r w:rsidR="005F0360">
        <w:rPr>
          <w:rFonts w:ascii="Times New Roman" w:eastAsia="Times New Roman" w:hAnsi="Times New Roman"/>
          <w:sz w:val="28"/>
          <w:szCs w:val="27"/>
          <w:lang w:eastAsia="ru-RU"/>
        </w:rPr>
        <w:t xml:space="preserve"> профилактических мероприятий </w:t>
      </w:r>
      <w:r w:rsidR="00BF1EC8">
        <w:rPr>
          <w:rFonts w:ascii="Times New Roman" w:eastAsia="Times New Roman" w:hAnsi="Times New Roman"/>
          <w:sz w:val="28"/>
          <w:szCs w:val="27"/>
          <w:lang w:eastAsia="ru-RU"/>
        </w:rPr>
        <w:t>с </w:t>
      </w:r>
      <w:r w:rsidRPr="00A753E5">
        <w:rPr>
          <w:rFonts w:ascii="Times New Roman" w:eastAsia="Times New Roman" w:hAnsi="Times New Roman"/>
          <w:sz w:val="28"/>
          <w:szCs w:val="27"/>
          <w:lang w:eastAsia="ru-RU"/>
        </w:rPr>
        <w:t xml:space="preserve">взаимодействием с юридическими лицами и индивидуальными предпринимателями. 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В 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>202</w:t>
      </w:r>
      <w:r w:rsidR="00601EC1" w:rsidRPr="00BF1EC8"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 год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>у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 комитетом по труду и занятости населения Ленинградской области в соответствии постановлени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ем Правительства Российской Федерации от 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>10.03.2022 № 366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особенностях организации и 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>осуществления государственного контроля (надзора), муниципального контроля»</w:t>
      </w:r>
      <w:r w:rsidR="00BF1EC8" w:rsidRPr="00BF1EC8">
        <w:rPr>
          <w:rFonts w:ascii="Times New Roman" w:eastAsia="Times New Roman" w:hAnsi="Times New Roman"/>
          <w:sz w:val="28"/>
          <w:szCs w:val="27"/>
          <w:lang w:eastAsia="ru-RU"/>
        </w:rPr>
        <w:t xml:space="preserve"> проверки не проводились</w:t>
      </w:r>
      <w:r w:rsidRPr="00BF1EC8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4D1343" w:rsidRPr="00E8201A" w:rsidRDefault="00586FD1" w:rsidP="00125E45">
      <w:pPr>
        <w:widowControl/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A05F93" w:rsidRPr="00125E45" w:rsidRDefault="00A05F93" w:rsidP="00125E45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A05F93" w:rsidRPr="00A05F93" w:rsidRDefault="00E8201A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A05F93" w:rsidRPr="00A05F93" w:rsidRDefault="00B902DF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обязательных требований до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лиц, повышение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информированности о способах их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снижение административной нагрузки на работодателей;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повышение их занятости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повышение эффективности осуществления контрольно-надзорной деятельности.</w:t>
      </w:r>
    </w:p>
    <w:p w:rsidR="00A05F93" w:rsidRPr="00125E45" w:rsidRDefault="00A05F93" w:rsidP="00125E45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A05F93" w:rsidRPr="00A05F93" w:rsidRDefault="00125E45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:rsid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должностных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осуществляющих государственный контроль (надзор);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:rsidR="00A05F93" w:rsidRPr="00A05F93" w:rsidRDefault="00A05F93" w:rsidP="00125E45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25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:rsidR="004D1343" w:rsidRPr="00AB20F1" w:rsidRDefault="004D134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752" w:rsidRPr="00FE0752" w:rsidRDefault="00FE0752" w:rsidP="00AE4C01">
      <w:pPr>
        <w:widowControl/>
        <w:shd w:val="clear" w:color="auto" w:fill="FFFFFF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sectPr w:rsidR="00FE0752" w:rsidRPr="00FE0752">
          <w:headerReference w:type="default" r:id="rId9"/>
          <w:headerReference w:type="first" r:id="rId10"/>
          <w:pgSz w:w="11905" w:h="16837"/>
          <w:pgMar w:top="1134" w:right="567" w:bottom="1134" w:left="1418" w:header="1134" w:footer="720" w:gutter="0"/>
          <w:cols w:space="720"/>
          <w:titlePg/>
          <w:docGrid w:linePitch="360"/>
        </w:sectPr>
      </w:pPr>
    </w:p>
    <w:p w:rsidR="00AE4C01" w:rsidRDefault="00AE4C01" w:rsidP="00125E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Раздел 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рофилактически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сроки (периодичность) их проведения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36"/>
        <w:gridCol w:w="6379"/>
        <w:gridCol w:w="2381"/>
        <w:gridCol w:w="2551"/>
      </w:tblGrid>
      <w:tr w:rsidR="002B4129" w:rsidRPr="00AB20F1" w:rsidTr="00A55C19">
        <w:trPr>
          <w:cantSplit/>
          <w:trHeight w:val="825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  <w:vAlign w:val="center"/>
          </w:tcPr>
          <w:p w:rsidR="002B4129" w:rsidRPr="00AB20F1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:rsidR="002B4129" w:rsidRPr="00AB20F1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129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129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Сроки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129" w:rsidRPr="008C6703" w:rsidRDefault="002B4129" w:rsidP="00125E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Ответственное структурное подразделение</w:t>
            </w:r>
            <w:r w:rsidR="00AE4C0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 (контактные данные)</w:t>
            </w:r>
          </w:p>
        </w:tc>
      </w:tr>
      <w:tr w:rsidR="002B4129" w:rsidRPr="00AB20F1" w:rsidTr="00A55C19">
        <w:trPr>
          <w:trHeight w:val="163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2B4129" w:rsidRPr="00AB20F1" w:rsidRDefault="002B4129" w:rsidP="00125E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125E45" w:rsidRDefault="002B4129" w:rsidP="00125E4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Официальный сайт ОИВ</w:t>
            </w:r>
            <w:r w:rsidR="00125E45" w:rsidRPr="00125E4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B4129" w:rsidRPr="00125E45" w:rsidRDefault="002B4129" w:rsidP="00F159A3">
            <w:pPr>
              <w:pStyle w:val="a3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Выделенный раздел (вкладка, баннер</w:t>
            </w:r>
            <w:r w:rsidR="00125E45"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):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текст нормативных правовых актов, регулирующих осуществление контроля (надзора);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руководство по соблюдению обязательных требований, разработанных и утвержденных в соответствии с Федеральным законом от 31 июля 2020 года № 247- ФЗ «Об обязательных требованиях в Российской Федерации»;</w:t>
            </w:r>
          </w:p>
          <w:p w:rsidR="002B4129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указанием категории риска;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программы профилактики рисков причинения вреда и план проведения плановых контрольных (надзорных) мероприятий;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переч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сведений, которые могут запрашиваться у контролируемого лица;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порядке досудебного обжалования решений ОИВ, действий (бездействия) его должностных лиц;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содержащи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ОИВ;</w:t>
            </w:r>
          </w:p>
          <w:p w:rsidR="002B4129" w:rsidRPr="00E90C97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государственном контроле (надзоре);</w:t>
            </w:r>
          </w:p>
          <w:p w:rsidR="002B4129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ины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сведений, предусмотренных нормативными правовыми актами Российской Федерации, нормативными правовыми актами субъекта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125E45" w:rsidP="00125E4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25E4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памятки для работодателей, разработанные с учетом 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нормативных правовых актов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субъекта 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129" w:rsidRPr="00F159A3" w:rsidRDefault="002B4129" w:rsidP="00F159A3">
            <w:pPr>
              <w:pStyle w:val="a3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Новостная лента:</w:t>
            </w:r>
          </w:p>
          <w:p w:rsidR="00A05F93" w:rsidRPr="00F159A3" w:rsidRDefault="00125E45" w:rsidP="00F159A3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аналитическая информация об исполнении квоты работодателями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Default="00125E45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оддержание информации в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актуальном состоянии</w:t>
            </w: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08595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 реже 1 раза в </w:t>
            </w:r>
            <w:r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занятости отдела организационно-правового обеспечения и контроля</w:t>
            </w:r>
          </w:p>
        </w:tc>
      </w:tr>
      <w:tr w:rsidR="002B4129" w:rsidRPr="00AB20F1" w:rsidTr="00A55C19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Размещение постов на о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фициальны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страниц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ОИВ в социальных сетях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B4129" w:rsidRDefault="00F159A3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ения об изменениях, внесенных 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нормативные правовые акты, регулирующие осуществление государственного контроля (надзора), о 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роках и порядке их вступления 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силу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F159A3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аналитическая информация об исполнении квоты работодателями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2B4129" w:rsidRDefault="00F159A3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 наличии вакансий, заявленных работодателями в счет квоты для трудоустройства инвалидов;</w:t>
            </w:r>
          </w:p>
          <w:p w:rsidR="002B4129" w:rsidRDefault="00F159A3" w:rsidP="00C80A5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положительные примеры трудоустройства инвалидов, исполнения законодательства о квотировании и другие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10 рабочих дней 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после вступления в силу</w:t>
            </w: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085958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  <w:p w:rsidR="008F1E8D" w:rsidRDefault="008F1E8D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</w:t>
            </w:r>
            <w:r w:rsidR="008F1E8D" w:rsidRP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8595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раз в 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  <w:p w:rsidR="002B4129" w:rsidRPr="008F1E8D" w:rsidRDefault="00085958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 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D3305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Сектор </w:t>
            </w:r>
            <w:proofErr w:type="gramStart"/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</w:t>
            </w:r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законодательства о занятости отдела организационно-правового обеспечения и контроля</w:t>
            </w:r>
          </w:p>
        </w:tc>
      </w:tr>
      <w:tr w:rsidR="002B4129" w:rsidRPr="00AB20F1" w:rsidTr="00A55C19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2B4129" w:rsidRPr="001E1075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8F1E8D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Адресное 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информирование работодателей, в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том числе р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азмещение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информации 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личны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кабинет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контролируемых лиц в государственных информационных системах (при их наличии), 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электронн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ую</w:t>
            </w:r>
            <w:r w:rsidR="002B4129"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почт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на</w:t>
            </w:r>
            <w:r w:rsidR="00491F4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мероприятиях (совещания, круглые столы, семинары)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B4129" w:rsidRDefault="00491F47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текст нормативных правовых актов, регулирующих осуществление контроля (надзора);</w:t>
            </w:r>
          </w:p>
          <w:p w:rsidR="002B4129" w:rsidRDefault="00491F47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памятки для работодателей, разработанные с учетом нормативных правовых актов субъекта </w:t>
            </w:r>
            <w:r w:rsidR="002F624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РФ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F1E8D" w:rsidRDefault="00085958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8F1E8D" w:rsidRP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аналитическая информация об исполнении квоты работодателями;</w:t>
            </w:r>
          </w:p>
          <w:p w:rsidR="002B4129" w:rsidRDefault="00085958" w:rsidP="00491F47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491F4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сведения об изменениях, внесенных в </w:t>
            </w:r>
            <w:r w:rsidR="002B4129"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1 раза в 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  <w:p w:rsidR="002B4129" w:rsidRDefault="002B4129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D3305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занятости отдела организационно-правового обеспечения и контроля</w:t>
            </w:r>
          </w:p>
        </w:tc>
      </w:tr>
      <w:tr w:rsidR="002B4129" w:rsidRPr="00AB20F1" w:rsidTr="00A55C19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2B4129" w:rsidRPr="007B17ED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2B4129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0A5B" w:rsidRDefault="002B4129" w:rsidP="00A55C1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Публичные слушания</w:t>
            </w:r>
            <w:r w:rsidR="00C80A5B" w:rsidRP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Pr="001E4C64" w:rsidRDefault="00C80A5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40200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 реже 1 раза в</w:t>
            </w:r>
            <w:r w:rsidR="0040200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="00402008" w:rsidRPr="001E4C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55C1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занятости отдела организационно-правового обеспечения и контроля</w:t>
            </w:r>
          </w:p>
        </w:tc>
      </w:tr>
      <w:tr w:rsidR="002B4129" w:rsidRPr="00AB20F1" w:rsidTr="00A55C19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72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2B4129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BE4B8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Проведение консультаций в письменной форме, по телефону, посредством видео-конференц-связи, на личном приеме либо в ходе проведения профилактического или контрольного (надзорного) мероприятия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 вопросам:</w:t>
            </w:r>
          </w:p>
          <w:p w:rsidR="002B4129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облю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дение обязательных требований в 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части выпол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нения обязанности по созданию и 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(или) выделени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ю рабочих мест в соответствии с 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установленной квотой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формирование локального нормативного акта, содер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жащего сведения о созданных или выделенных рабочих местах для </w:t>
            </w:r>
            <w:r w:rsidR="002B4129"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трудоустройства инвалидов в соответ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ствии с </w:t>
            </w:r>
            <w:r w:rsidR="002B4129"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установленной квотой;</w:t>
            </w:r>
          </w:p>
          <w:p w:rsidR="002B4129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B4129"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жемесячное представление предусмотренной законом отчетности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Pr="00AB20F1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иные вопросы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При личном обращении,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 </w:t>
            </w:r>
            <w:r w:rsidR="002B4129" w:rsidRPr="0051690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телефону, в том числе на «горячую линию»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15 минут с момента соединения с оператором;</w:t>
            </w:r>
          </w:p>
          <w:p w:rsidR="007700DB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обращение в социальных сетях – в течение 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рабочего дня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после поступления обращения;</w:t>
            </w:r>
          </w:p>
          <w:p w:rsidR="002B4129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при 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письменном обращении – 30 дней с момента регистрации заявления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занятости отдела организационно-правового обеспечения и контроля</w:t>
            </w:r>
          </w:p>
        </w:tc>
      </w:tr>
      <w:tr w:rsidR="002B4129" w:rsidRPr="00AB20F1" w:rsidTr="00A55C19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7700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7700DB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43" w:rsidRPr="00085958" w:rsidRDefault="002B4129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Подготовка</w:t>
            </w: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доклада о правоприменительной практике по результатам осуществления государственного контроля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(надзора</w:t>
            </w:r>
            <w:proofErr w:type="gramStart"/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)ю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Pr="00C80A5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 </w:t>
            </w:r>
            <w:r w:rsidR="002B4129"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C80A5B" w:rsidRPr="00C80A5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занятости отдела организационно-правового обеспечения и контроля</w:t>
            </w:r>
          </w:p>
        </w:tc>
      </w:tr>
      <w:tr w:rsidR="002B4129" w:rsidRPr="00AB20F1" w:rsidTr="00A55C19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F159A3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B4129" w:rsidRDefault="002B4129" w:rsidP="00F159A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Направление контролируемым лицам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F159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основе анализа исполнения 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квот для приема инвалидов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>
              <w:t xml:space="preserve"> 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части выполнения 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обязанности по созданию и (или) 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выделени</w:t>
            </w:r>
            <w:r w:rsid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ю рабочих мест в соответствии с 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установленной квотой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29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 позднее 30 дней со дня появления оснований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занятости отдела организационно-правового обеспечения и контроля</w:t>
            </w:r>
          </w:p>
        </w:tc>
      </w:tr>
      <w:tr w:rsidR="00F159A3" w:rsidRPr="00AB20F1" w:rsidTr="00A55C19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  <w:vAlign w:val="center"/>
          </w:tcPr>
          <w:p w:rsidR="00F159A3" w:rsidRDefault="00F159A3" w:rsidP="00F159A3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:rsidR="00F159A3" w:rsidRDefault="00F159A3" w:rsidP="00F159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3" w:rsidRDefault="00F159A3" w:rsidP="007700DB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профилактического визита:</w:t>
            </w:r>
          </w:p>
          <w:p w:rsidR="007700DB" w:rsidRPr="00F1447D" w:rsidRDefault="007700DB" w:rsidP="007700DB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обязательного</w:t>
            </w:r>
            <w:proofErr w:type="gramEnd"/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 отношении:</w:t>
            </w:r>
          </w:p>
          <w:p w:rsidR="007700DB" w:rsidRPr="00085958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объектов контроля,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отнесенных 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категориям высокого, значительного </w:t>
            </w:r>
            <w:r w:rsidRP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риска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700DB" w:rsidRPr="00085958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7700DB" w:rsidRPr="007700DB" w:rsidRDefault="007700DB" w:rsidP="007700DB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. </w:t>
            </w:r>
            <w:r w:rsidRPr="00F159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 инициативе контролируемого лица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B" w:rsidRPr="00085958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F159A3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соответствии 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установленным графиком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00DB" w:rsidRP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7700DB" w:rsidRDefault="007700DB" w:rsidP="0008595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8288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е позднее 30 дней со дня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обращения контролируемого лица</w:t>
            </w:r>
            <w:r w:rsidRPr="007700D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3" w:rsidRPr="00690DBA" w:rsidRDefault="00A55C19" w:rsidP="006B324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Сектор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занятости отдела организационно-правового обеспечения 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</w:tr>
    </w:tbl>
    <w:p w:rsidR="002B4129" w:rsidRDefault="002B4129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2B4129" w:rsidRDefault="002B4129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8112D" w:rsidRDefault="0058112D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8112D" w:rsidRDefault="0058112D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B54F9" w:rsidRDefault="00BB54F9" w:rsidP="00F159A3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B54F9">
        <w:rPr>
          <w:rFonts w:ascii="Times New Roman" w:hAnsi="Times New Roman"/>
          <w:b/>
          <w:sz w:val="28"/>
          <w:szCs w:val="28"/>
        </w:rPr>
        <w:t>Раздел 4</w:t>
      </w:r>
      <w:r w:rsidR="00F159A3">
        <w:rPr>
          <w:rFonts w:ascii="Times New Roman" w:hAnsi="Times New Roman"/>
          <w:b/>
          <w:sz w:val="28"/>
          <w:szCs w:val="28"/>
        </w:rPr>
        <w:t xml:space="preserve">. Показатели результативности и </w:t>
      </w:r>
      <w:r w:rsidRPr="00BB54F9">
        <w:rPr>
          <w:rFonts w:ascii="Times New Roman" w:hAnsi="Times New Roman"/>
          <w:b/>
          <w:sz w:val="28"/>
          <w:szCs w:val="28"/>
        </w:rPr>
        <w:t>эффективности программы профилактики</w:t>
      </w:r>
    </w:p>
    <w:p w:rsidR="00BB54F9" w:rsidRDefault="00BB54F9" w:rsidP="00BB54F9">
      <w:pPr>
        <w:widowControl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303"/>
        <w:gridCol w:w="1694"/>
        <w:gridCol w:w="1672"/>
        <w:gridCol w:w="1560"/>
        <w:gridCol w:w="1559"/>
        <w:gridCol w:w="1559"/>
      </w:tblGrid>
      <w:tr w:rsidR="00BB54F9" w:rsidRPr="00BB54F9" w:rsidTr="00F159A3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03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:rsidR="00F159A3" w:rsidRPr="00F159A3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Наименова</w:t>
            </w:r>
            <w:r w:rsidR="00F159A3">
              <w:rPr>
                <w:rFonts w:ascii="Times New Roman" w:hAnsi="Times New Roman"/>
                <w:b/>
                <w:sz w:val="28"/>
                <w:szCs w:val="28"/>
              </w:rPr>
              <w:t>ние показателя результативности</w:t>
            </w:r>
          </w:p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и эффективности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Единица измерения (единица, процент)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Прогнозное значение показателя</w:t>
            </w:r>
          </w:p>
        </w:tc>
      </w:tr>
      <w:tr w:rsidR="00BB54F9" w:rsidRPr="00BB54F9" w:rsidTr="00F159A3">
        <w:trPr>
          <w:cantSplit/>
          <w:trHeight w:val="356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3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F9" w:rsidRPr="00BB54F9" w:rsidRDefault="008C35B3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4F9" w:rsidRPr="00BB54F9" w:rsidRDefault="008C35B3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4F9" w:rsidRPr="00BB54F9" w:rsidRDefault="008C35B3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</w:tr>
      <w:tr w:rsidR="00BB54F9" w:rsidRPr="00BB54F9" w:rsidTr="00F159A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F5651E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159A3" w:rsidRPr="00F159A3" w:rsidRDefault="00BB54F9" w:rsidP="00F159A3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ыполнени</w:t>
            </w:r>
            <w:r w:rsidR="00F159A3">
              <w:rPr>
                <w:rFonts w:ascii="Times New Roman" w:hAnsi="Times New Roman"/>
                <w:sz w:val="28"/>
                <w:szCs w:val="28"/>
              </w:rPr>
              <w:t>е работодателями обязанности по</w:t>
            </w:r>
            <w:r w:rsidR="00F159A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созданию (выделению) рабочих ме</w:t>
            </w:r>
            <w:proofErr w:type="gramStart"/>
            <w:r w:rsidRPr="00BB54F9">
              <w:rPr>
                <w:rFonts w:ascii="Times New Roman" w:hAnsi="Times New Roman"/>
                <w:sz w:val="28"/>
                <w:szCs w:val="28"/>
              </w:rPr>
              <w:t>ст в сч</w:t>
            </w:r>
            <w:proofErr w:type="gramEnd"/>
            <w:r w:rsidRPr="00BB54F9">
              <w:rPr>
                <w:rFonts w:ascii="Times New Roman" w:hAnsi="Times New Roman"/>
                <w:sz w:val="28"/>
                <w:szCs w:val="28"/>
              </w:rPr>
              <w:t>ет установленной квоты</w:t>
            </w:r>
            <w:r w:rsidR="001C5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C35B3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="00F159A3" w:rsidRPr="00F159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54F9" w:rsidRPr="00F159A3" w:rsidRDefault="00F159A3" w:rsidP="00F159A3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C56D6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spellEnd"/>
            <w:r w:rsidR="001C56D6">
              <w:rPr>
                <w:rFonts w:ascii="Times New Roman" w:hAnsi="Times New Roman"/>
                <w:sz w:val="28"/>
                <w:szCs w:val="28"/>
              </w:rPr>
              <w:t xml:space="preserve"> учреждениях</w:t>
            </w:r>
            <w:r w:rsidRPr="00F15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D6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8C35B3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35B3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D6" w:rsidRPr="00BB54F9" w:rsidRDefault="001C56D6" w:rsidP="008C35B3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B3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B3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B3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54F9" w:rsidRPr="00BB54F9" w:rsidTr="00F159A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F5651E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F159A3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Выполнени</w:t>
            </w:r>
            <w:r w:rsidR="00F159A3">
              <w:rPr>
                <w:rFonts w:ascii="Times New Roman" w:hAnsi="Times New Roman"/>
                <w:bCs/>
                <w:sz w:val="28"/>
                <w:szCs w:val="28"/>
              </w:rPr>
              <w:t xml:space="preserve">е работодателями обязанности </w:t>
            </w:r>
            <w:proofErr w:type="gramStart"/>
            <w:r w:rsidR="00F159A3">
              <w:rPr>
                <w:rFonts w:ascii="Times New Roman" w:hAnsi="Times New Roman"/>
                <w:bCs/>
                <w:sz w:val="28"/>
                <w:szCs w:val="28"/>
              </w:rPr>
              <w:t>по </w:t>
            </w: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оформлению в установленном порядке раб</w:t>
            </w:r>
            <w:r w:rsidR="00F159A3">
              <w:rPr>
                <w:rFonts w:ascii="Times New Roman" w:hAnsi="Times New Roman"/>
                <w:bCs/>
                <w:sz w:val="28"/>
                <w:szCs w:val="28"/>
              </w:rPr>
              <w:t>отодателем трудовых отношений с </w:t>
            </w: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инвалидами в рамках исполнения обязанности по трудоустрой</w:t>
            </w:r>
            <w:r w:rsidR="00F159A3">
              <w:rPr>
                <w:rFonts w:ascii="Times New Roman" w:hAnsi="Times New Roman"/>
                <w:bCs/>
                <w:sz w:val="28"/>
                <w:szCs w:val="28"/>
              </w:rPr>
              <w:t>ству</w:t>
            </w:r>
            <w:proofErr w:type="gramEnd"/>
            <w:r w:rsidR="00F159A3">
              <w:rPr>
                <w:rFonts w:ascii="Times New Roman" w:hAnsi="Times New Roman"/>
                <w:bCs/>
                <w:sz w:val="28"/>
                <w:szCs w:val="28"/>
              </w:rPr>
              <w:t xml:space="preserve"> инвалидов в соответствии с </w:t>
            </w: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установленной квотой</w:t>
            </w:r>
            <w:r w:rsidR="008C35B3">
              <w:rPr>
                <w:rFonts w:ascii="Times New Roman" w:hAnsi="Times New Roman"/>
                <w:bCs/>
                <w:sz w:val="28"/>
                <w:szCs w:val="28"/>
              </w:rPr>
              <w:t xml:space="preserve"> на конец года</w:t>
            </w:r>
            <w:r w:rsidR="00F159A3" w:rsidRPr="00F159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BB54F9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F9" w:rsidRPr="00BB54F9" w:rsidRDefault="001C56D6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B54F9" w:rsidRPr="00BB54F9" w:rsidTr="00F159A3">
        <w:trPr>
          <w:cantSplit/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BB54F9" w:rsidRDefault="00F5651E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159A3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 xml:space="preserve">Доля объектов контроля, в отношении которых проведены </w:t>
            </w:r>
            <w:r w:rsidR="00F159A3">
              <w:rPr>
                <w:rFonts w:ascii="Times New Roman" w:hAnsi="Times New Roman"/>
                <w:sz w:val="28"/>
                <w:szCs w:val="28"/>
              </w:rPr>
              <w:t>профилактические мероприятия от</w:t>
            </w:r>
            <w:r w:rsidR="00F159A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 xml:space="preserve">общего числа контролируемых лиц </w:t>
            </w:r>
            <w:r w:rsidR="008C35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8112D">
              <w:rPr>
                <w:rFonts w:ascii="Times New Roman" w:hAnsi="Times New Roman"/>
                <w:sz w:val="28"/>
                <w:szCs w:val="28"/>
              </w:rPr>
              <w:t xml:space="preserve"> с нарастающим итогом</w:t>
            </w:r>
            <w:r w:rsidR="00F159A3" w:rsidRPr="00F15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BB54F9" w:rsidRPr="00BB54F9" w:rsidRDefault="00F5651E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F9" w:rsidRPr="00BB54F9" w:rsidRDefault="001C56D6" w:rsidP="00F159A3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003E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bookmarkStart w:id="0" w:name="_GoBack"/>
            <w:bookmarkEnd w:id="0"/>
          </w:p>
        </w:tc>
      </w:tr>
    </w:tbl>
    <w:p w:rsidR="00AE4C01" w:rsidRDefault="00AE4C01" w:rsidP="00BB54F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8732D" w:rsidRPr="00AB20F1" w:rsidRDefault="00AE4C01" w:rsidP="00BB54F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BB54F9" w:rsidRPr="00BB54F9">
        <w:rPr>
          <w:rFonts w:ascii="Times New Roman" w:hAnsi="Times New Roman"/>
          <w:sz w:val="28"/>
          <w:szCs w:val="28"/>
        </w:rPr>
        <w:t>асчет показателей результативности и эффективности программы профилактики осуществляется в рамках подготовки сведений (докладов) об итогах реализации программы профилактики до «__» ________ года.</w:t>
      </w:r>
    </w:p>
    <w:sectPr w:rsidR="0078732D" w:rsidRPr="00AB20F1">
      <w:headerReference w:type="even" r:id="rId11"/>
      <w:headerReference w:type="default" r:id="rId12"/>
      <w:pgSz w:w="16837" w:h="11905" w:orient="landscape"/>
      <w:pgMar w:top="567" w:right="1134" w:bottom="1418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41" w:rsidRDefault="00380F41">
      <w:r>
        <w:separator/>
      </w:r>
    </w:p>
  </w:endnote>
  <w:endnote w:type="continuationSeparator" w:id="0">
    <w:p w:rsidR="00380F41" w:rsidRDefault="0038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41" w:rsidRDefault="00380F41">
      <w:r>
        <w:separator/>
      </w:r>
    </w:p>
  </w:footnote>
  <w:footnote w:type="continuationSeparator" w:id="0">
    <w:p w:rsidR="00380F41" w:rsidRDefault="00380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Default="00586FD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55C19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80264"/>
      <w:docPartObj>
        <w:docPartGallery w:val="Page Numbers (Top of Page)"/>
        <w:docPartUnique/>
      </w:docPartObj>
    </w:sdtPr>
    <w:sdtEndPr/>
    <w:sdtContent>
      <w:p w:rsidR="00AE4C01" w:rsidRDefault="00AE4C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C19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D1343" w:rsidRDefault="004D134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8003E3">
      <w:rPr>
        <w:rStyle w:val="aff1"/>
        <w:noProof/>
      </w:rPr>
      <w:t>13</w:t>
    </w:r>
    <w:r>
      <w:rPr>
        <w:rStyle w:val="aff1"/>
      </w:rPr>
      <w:fldChar w:fldCharType="end"/>
    </w:r>
  </w:p>
  <w:p w:rsidR="00F159A3" w:rsidRDefault="00F159A3" w:rsidP="00F15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22EB4D2F"/>
    <w:multiLevelType w:val="multilevel"/>
    <w:tmpl w:val="2AFA1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C4082D"/>
    <w:multiLevelType w:val="multilevel"/>
    <w:tmpl w:val="1034E06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4">
    <w:nsid w:val="4C367994"/>
    <w:multiLevelType w:val="multilevel"/>
    <w:tmpl w:val="3440EF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D52024C"/>
    <w:multiLevelType w:val="hybridMultilevel"/>
    <w:tmpl w:val="01E4EAC2"/>
    <w:lvl w:ilvl="0" w:tplc="D7B4C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9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0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43"/>
    <w:rsid w:val="00025B84"/>
    <w:rsid w:val="00042B90"/>
    <w:rsid w:val="00056BEB"/>
    <w:rsid w:val="00085958"/>
    <w:rsid w:val="0009273B"/>
    <w:rsid w:val="000D7280"/>
    <w:rsid w:val="000E6911"/>
    <w:rsid w:val="000F5A7E"/>
    <w:rsid w:val="00125E45"/>
    <w:rsid w:val="00142E08"/>
    <w:rsid w:val="00172344"/>
    <w:rsid w:val="00174875"/>
    <w:rsid w:val="001B1CB7"/>
    <w:rsid w:val="001C56D6"/>
    <w:rsid w:val="001E4C64"/>
    <w:rsid w:val="00213A63"/>
    <w:rsid w:val="00213CE1"/>
    <w:rsid w:val="002345E2"/>
    <w:rsid w:val="00257B18"/>
    <w:rsid w:val="00270FD4"/>
    <w:rsid w:val="002B4129"/>
    <w:rsid w:val="002D40F4"/>
    <w:rsid w:val="002F6243"/>
    <w:rsid w:val="00380F41"/>
    <w:rsid w:val="00402008"/>
    <w:rsid w:val="00491F47"/>
    <w:rsid w:val="004C19FA"/>
    <w:rsid w:val="004C5943"/>
    <w:rsid w:val="004D1343"/>
    <w:rsid w:val="00536154"/>
    <w:rsid w:val="00545C8A"/>
    <w:rsid w:val="00562118"/>
    <w:rsid w:val="005710CD"/>
    <w:rsid w:val="00574C72"/>
    <w:rsid w:val="0058112D"/>
    <w:rsid w:val="00586FD1"/>
    <w:rsid w:val="005E1958"/>
    <w:rsid w:val="005E6907"/>
    <w:rsid w:val="005F0360"/>
    <w:rsid w:val="00601EC1"/>
    <w:rsid w:val="00603D29"/>
    <w:rsid w:val="00621E01"/>
    <w:rsid w:val="00704624"/>
    <w:rsid w:val="00711511"/>
    <w:rsid w:val="00740E61"/>
    <w:rsid w:val="007700DB"/>
    <w:rsid w:val="00772F15"/>
    <w:rsid w:val="0078732D"/>
    <w:rsid w:val="0078797C"/>
    <w:rsid w:val="00794379"/>
    <w:rsid w:val="007B1019"/>
    <w:rsid w:val="008003E3"/>
    <w:rsid w:val="00833C3D"/>
    <w:rsid w:val="00847477"/>
    <w:rsid w:val="008C35B3"/>
    <w:rsid w:val="008E2298"/>
    <w:rsid w:val="008F1B8B"/>
    <w:rsid w:val="008F1E8D"/>
    <w:rsid w:val="00966134"/>
    <w:rsid w:val="009D228F"/>
    <w:rsid w:val="009D7C20"/>
    <w:rsid w:val="009F104A"/>
    <w:rsid w:val="00A05F93"/>
    <w:rsid w:val="00A30D24"/>
    <w:rsid w:val="00A44E01"/>
    <w:rsid w:val="00A55C19"/>
    <w:rsid w:val="00A823A5"/>
    <w:rsid w:val="00A94EE7"/>
    <w:rsid w:val="00AB20F1"/>
    <w:rsid w:val="00AE39C1"/>
    <w:rsid w:val="00AE4C01"/>
    <w:rsid w:val="00B26ADF"/>
    <w:rsid w:val="00B70DFC"/>
    <w:rsid w:val="00B756D4"/>
    <w:rsid w:val="00B902DF"/>
    <w:rsid w:val="00BB54F9"/>
    <w:rsid w:val="00BF1EC8"/>
    <w:rsid w:val="00C51F8E"/>
    <w:rsid w:val="00C80A5B"/>
    <w:rsid w:val="00CC4BA9"/>
    <w:rsid w:val="00CD2A25"/>
    <w:rsid w:val="00CD3FD7"/>
    <w:rsid w:val="00D01CA5"/>
    <w:rsid w:val="00D06499"/>
    <w:rsid w:val="00D27EF3"/>
    <w:rsid w:val="00D91DB9"/>
    <w:rsid w:val="00DA3695"/>
    <w:rsid w:val="00DC6B87"/>
    <w:rsid w:val="00E07CFA"/>
    <w:rsid w:val="00E54B04"/>
    <w:rsid w:val="00E8201A"/>
    <w:rsid w:val="00EA55B4"/>
    <w:rsid w:val="00EE1BBF"/>
    <w:rsid w:val="00F159A3"/>
    <w:rsid w:val="00F5651E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2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character" w:customStyle="1" w:styleId="aff2">
    <w:name w:val="Гипертекстовая ссылка"/>
    <w:uiPriority w:val="99"/>
    <w:rsid w:val="0008595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2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character" w:customStyle="1" w:styleId="aff2">
    <w:name w:val="Гипертекстовая ссылка"/>
    <w:uiPriority w:val="99"/>
    <w:rsid w:val="0008595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9135-EB0E-4E28-9C34-2D2C14DF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8721</TotalTime>
  <Pages>13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Шарлай Ирина Васильевна</cp:lastModifiedBy>
  <cp:revision>21</cp:revision>
  <cp:lastPrinted>2023-08-17T07:20:00Z</cp:lastPrinted>
  <dcterms:created xsi:type="dcterms:W3CDTF">2023-09-12T06:06:00Z</dcterms:created>
  <dcterms:modified xsi:type="dcterms:W3CDTF">2023-09-25T07:10:00Z</dcterms:modified>
  <cp:version>1048576</cp:version>
</cp:coreProperties>
</file>