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jc w:val="right"/>
        <w:tabs>
          <w:tab w:val="left" w:pos="5103" w:leader="none"/>
        </w:tabs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</w:r>
      <w:r>
        <w:rPr>
          <w:rFonts w:eastAsia="Calibri" w:cs="Times New Roman"/>
          <w:b/>
          <w:sz w:val="26"/>
          <w:szCs w:val="26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color w:val="0f1115"/>
          <w:sz w:val="26"/>
          <w:szCs w:val="26"/>
          <w:highlight w:val="white"/>
        </w:rPr>
        <w:t xml:space="preserve">Празднование Дня Ленинградской области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center"/>
        <w:rPr>
          <w:rFonts w:eastAsia="Calibri" w:cs="Times New Roman"/>
          <w:b/>
          <w:bCs/>
          <w:sz w:val="26"/>
          <w:szCs w:val="26"/>
        </w:rPr>
      </w:pPr>
      <w:r>
        <w:rPr>
          <w:rFonts w:eastAsia="Calibri" w:cs="Times New Roman"/>
          <w:b/>
          <w:sz w:val="26"/>
          <w:szCs w:val="26"/>
          <w:highlight w:val="none"/>
        </w:rPr>
      </w:r>
      <w:r>
        <w:rPr>
          <w:rFonts w:eastAsia="Calibri" w:cs="Times New Roman"/>
          <w:b/>
          <w:sz w:val="26"/>
          <w:szCs w:val="26"/>
          <w:highlight w:val="none"/>
        </w:rPr>
      </w:r>
    </w:p>
    <w:tbl>
      <w:tblPr>
        <w:tblpPr w:horzAnchor="text" w:tblpXSpec="left" w:vertAnchor="text" w:tblpY="1" w:leftFromText="180" w:topFromText="0" w:rightFromText="180" w:bottomFromText="0"/>
        <w:tblW w:w="10065" w:type="dxa"/>
        <w:tblInd w:w="108" w:type="dxa"/>
        <w:tblLook w:val="0000" w:firstRow="0" w:lastRow="0" w:firstColumn="0" w:lastColumn="0" w:noHBand="0" w:noVBand="0"/>
      </w:tblPr>
      <w:tblGrid>
        <w:gridCol w:w="5791"/>
        <w:gridCol w:w="4274"/>
      </w:tblGrid>
      <w:tr>
        <w:tblPrEx/>
        <w:trPr/>
        <w:tc>
          <w:tcPr>
            <w:tcW w:w="5791" w:type="dxa"/>
            <w:textDirection w:val="lrTb"/>
            <w:noWrap w:val="false"/>
          </w:tcPr>
          <w:p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 xml:space="preserve">Ленинградская область,</w:t>
            </w:r>
            <w:r>
              <w:rPr>
                <w:rFonts w:eastAsia="Calibri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  <w:highlight w:val="none"/>
              </w:rPr>
              <w:t xml:space="preserve">Ивангород</w:t>
            </w:r>
            <w:r>
              <w:rPr>
                <w:rFonts w:eastAsia="Calibri" w:cs="Times New Roman"/>
                <w:b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</w:r>
            <w:r>
              <w:rPr>
                <w:rFonts w:eastAsia="Calibri" w:cs="Times New Roman"/>
                <w:b/>
                <w:sz w:val="26"/>
                <w:szCs w:val="26"/>
              </w:rPr>
            </w:r>
          </w:p>
        </w:tc>
        <w:tc>
          <w:tcPr>
            <w:tcW w:w="4274" w:type="dxa"/>
            <w:textDirection w:val="lrTb"/>
            <w:noWrap w:val="false"/>
          </w:tcPr>
          <w:p>
            <w:pPr>
              <w:jc w:val="right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1августа 2026 года </w:t>
            </w:r>
            <w:r>
              <w:rPr>
                <w:rFonts w:eastAsia="Calibri" w:cs="Times New Roman"/>
                <w:b/>
                <w:sz w:val="26"/>
                <w:szCs w:val="26"/>
              </w:rPr>
            </w:r>
          </w:p>
          <w:p>
            <w:pPr>
              <w:jc w:val="right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</w:r>
            <w:r>
              <w:rPr>
                <w:rFonts w:eastAsia="Calibri" w:cs="Times New Roman"/>
                <w:b/>
                <w:sz w:val="26"/>
                <w:szCs w:val="26"/>
              </w:rPr>
            </w:r>
          </w:p>
        </w:tc>
      </w:tr>
    </w:tbl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  <w:lang w:val="ru-RU"/>
        </w:rPr>
      </w:r>
    </w:p>
    <w:p>
      <w:pPr>
        <w:pStyle w:val="1_605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rtl w:val="0"/>
          <w:lang w:val="ru-RU"/>
        </w:rPr>
        <w:t xml:space="preserve">КЛЮЧЕВЫЕ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ДОСТИЖЕНИЯ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2025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ГОДА И ПЛАНЫ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2026-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Й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Ленинградская область подходит к своему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99-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му дню рождения с солидным багажом достижений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Несмотря на внешнее давление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регион сохранил устойчивость и продолжает наращивать темпы развития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2025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год стал годом рекордов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2026-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й объявлен Годом Команды Созидания – и это не просто лозунг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а программа конкретных действий на благо каждого жителя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47-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 региона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ЭКОНОМИКА – ФУНДАМЕНТ РОСТА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Валовый региональный продукт превысил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2,5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трлн руб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рост составил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101,9%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выше среднего по РФ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Инвестиции в основной капитал достигли рекордных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1,6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трлн руб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– это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+29,8%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2024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году и рост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2,6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раза за пять лет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71,5%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инвестиций направлены в обрабатывающие производства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создано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тыс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новых рабочих мест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Областной бюджет исполнен с дефицитом всего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7,3%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покрыт остатками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Госдолг – один из самых низких в стране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4,6%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от налоговых и неналоговых доходов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и ни одного коммерческого кредита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Промышленность перестраивается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рекордный рост в производстве кожи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3,7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раза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лекарственных средств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(+16,3%),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автотранспорта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(+12,4%),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текстиля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(+11,2%).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Строительство – главный локомотив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объём работ вырос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40,3% (4-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в РФ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Введено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4,22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млн кв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 жилья – это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в России по вводу на душу населения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(2,04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чел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2,8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раза выше среднего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СЕЛЬСКОЕ ХОЗЯЙСТВО – ПРОДОВОЛЬСТВЕННЫЙ ЩИТ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Ленинградская область остаётся основным производителем продуктов питания на Северо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Западе и одним из лидеров в России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по производству яиц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3,8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млрд штук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(8%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всех яиц страны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по поголовью птицы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33,1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млн голов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3-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по выращиванию форели – 9,5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тыс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тонн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8-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по молоку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729,5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тыс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тонн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надой на корову достиг рекордных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10 506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ЖИЗНЕННЫЙ УРОВЕНЬ – В ЦИФРАХ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Средняя зарплата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94 348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руб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(+16,3%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2024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Реальные доходы населения выросли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9,9% (3-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в РФ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Безработица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0,2% (3-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в РФ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фактически полная занятость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Уровень бедности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5,2%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– самое низкое значение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30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(7-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в РФ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  <w:lang w:val="ru-RU"/>
        </w:rPr>
      </w:r>
    </w:p>
    <w:p>
      <w:pPr>
        <w:pStyle w:val="1_605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ГЛАВНОЕ – ЛЮДИ И СЕМЬИ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Демография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Ленинградская область – в ТОП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-6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регионов по росту рождаемости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За пять лет число многодетных семей выросло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82,9%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до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29 076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семей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Введены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новых мер поддержки семей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выплата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300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тыс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руб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при рождении третьего ребёнка в молодой семье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«социальная няня»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пункты проката и др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Поддержка СВО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действует более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95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мер поддержки участников СВО и их семей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Создан уникальный Кластер комплексного сопровождения во Всеволожске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(17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объектов – от протезирования до трудоустройства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Здравоохранение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введены поликлиника в Кировске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(600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посещений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амбулаторный комплекс в Тельмана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центр протезирования во Всеволожске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По программе «Земский доктор» привлечено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413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специалистов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Цифровая зрелость отрасли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97,9%.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Образование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введены 9 школ на 6 367 мест и 11 детских садов на 2 570 мест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Запущено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кластеров среднего профессионального образования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«Профессионалитет»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 школы пришли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455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молодых педагогов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(+27%).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Туризм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турпоток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8,9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млн человек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(5-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е место в РФ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Ленинградская область – лидер по числу национальных туристских маршрутов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(4).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Успешно развивается промышленный туризм «Крутая Локация»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(13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предприятий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16,7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тыс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гостей за год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Отреставрировано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7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объектов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обустроено 53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экотропы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 СО НКО</w:t>
      </w:r>
      <w:r>
        <w:rPr>
          <w:rFonts w:ascii="Times New Roman" w:hAnsi="Times New Roman" w:eastAsia="Times New Roman" w:cs="Times New Roman"/>
          <w:b/>
          <w:color w:val="0f1115"/>
          <w:sz w:val="24"/>
          <w:szCs w:val="24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highlight w:val="white"/>
        </w:rPr>
        <w:t xml:space="preserve"> второй год подряд регион признан лучшим в России по поддержке СО НКО. За 3 года объём финансовой поддержки вырос на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4"/>
          <w:szCs w:val="24"/>
          <w:highlight w:val="white"/>
        </w:rPr>
        <w:t xml:space="preserve">49,5</w:t>
      </w:r>
      <w:r>
        <w:rPr>
          <w:rFonts w:ascii="Times New Roman" w:hAnsi="Times New Roman" w:eastAsia="Times New Roman" w:cs="Times New Roman"/>
          <w:b/>
          <w:color w:val="0f1115"/>
          <w:sz w:val="24"/>
          <w:szCs w:val="24"/>
          <w:highlight w:val="white"/>
        </w:rPr>
        <w:t xml:space="preserve">%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highlight w:val="white"/>
        </w:rPr>
        <w:t xml:space="preserve"> — до 244,4 млн рублей. В 2025 году СО НКО привлекли 185,7 млн рублей из федеральног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highlight w:val="white"/>
        </w:rPr>
        <w:t xml:space="preserve">о бюджета.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ИНФРАСТРУКТУРА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О КОТОРОЙ ГОВОРЯТ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Дороги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отремонтировано более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400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км дорог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Западный обход Мурино – долгожданный проект – открыт для рабочего движения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полностью завершится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en-US"/>
        </w:rPr>
        <w:t xml:space="preserve">III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квартале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2026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  <w:lang w:val="ru-RU"/>
        </w:rPr>
        <w:t xml:space="preserve">Газификация: уровень достиг 65,59%. В 2025 году подключено к газовым сетям порядка 18 тыс. домовладений (5 тыс. домовладений с помощью субсидии из бюджета Ленобласти), что в 2,5 раза больше, чем в 2024-м.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Благоустройство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благоустроена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131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территория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(105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общественных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26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дворовых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Реализованы проекты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победители Всероссийского конкурса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Петровская набережная в Выборге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парк «Белые пески» в Сосновом Бору и др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Экология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 Кингисеппском районе запущен современный комплекс по обработке отходов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КПО «Кингисепп»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Ведётся строительство КПО «Рахья»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Ликвидировано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144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свалки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ВЗГЛЯД В БУДУЩЕЕ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ПЛАНЫ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2026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И ПОДГОТОВКА 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100-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ЛЕТИЮ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2026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год в Ленинградской области – Год Команды Созидания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Запланировано более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190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событий по четырём блокам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инфраструктура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команда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среда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культура созидания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Ключевые задачи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2026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год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rtl w:val="0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Ввести не менее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3,55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млн кв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 жилья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Открыть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8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школ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детских садов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Отремонтировать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354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км дорог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  <w:lang w:val="ru-RU"/>
        </w:rPr>
        <w:t xml:space="preserve">Благоустроить 169 общественных и дворовых пространств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Завершить западный обход Мурино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Ввести в эксплуатацию КПО «Рахья»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· Запустить второй этап программы «Герои Команды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47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» по направлению «Педагогика»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_605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Главный рубеж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100-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летие Ленинградской области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которое мы будем праздновать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2027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году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Столицей торжеств станет Гатчина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Уже сейчас идёт масштабная подготовка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реставрация исторических объектов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модернизация мемориально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ландшафтного комплекса «Дорога жизни»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открытие филиала Национального центра «Россия» во Всеволожске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2026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году столицей Дня рождения области станет Ивангород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а в рамках Года Команды созидания пройдёт конкурс «Новогодняя столица» с призовым фондом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100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млн рублей на развитие территорий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</w:r>
    </w:p>
    <w:sectPr>
      <w:headerReference w:type="default" r:id="rId9"/>
      <w:footnotePr/>
      <w:endnotePr/>
      <w:type w:val="nextPage"/>
      <w:pgSz w:w="11900" w:h="16840" w:orient="portrait"/>
      <w:pgMar w:top="284" w:right="849" w:bottom="284" w:left="993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 Neue">
    <w:panose1 w:val="02000603000000000000"/>
  </w:font>
  <w:font w:name="Arial Unicode MS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ПРЕСС-СЛУЖБА ГУБЕРНАТОРА И ПРАВИТЕЛЬСТВА </w:t>
    </w:r>
    <w:r>
      <w:rPr>
        <w:b/>
        <w:bCs/>
        <w:sz w:val="24"/>
        <w:szCs w:val="24"/>
      </w:rPr>
    </w:r>
  </w:p>
  <w:p>
    <w:pPr>
      <w:jc w:val="center"/>
      <w:tabs>
        <w:tab w:val="center" w:pos="4677" w:leader="none"/>
        <w:tab w:val="right" w:pos="9355" w:leader="none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ЛЕНИНГРАДСКОЙ ОБЛАСТИ</w:t>
    </w:r>
    <w:r>
      <w:rPr>
        <w:b/>
        <w:bCs/>
        <w:sz w:val="24"/>
        <w:szCs w:val="24"/>
      </w:rPr>
    </w:r>
  </w:p>
  <w:p>
    <w:pPr>
      <w:jc w:val="center"/>
      <w:tabs>
        <w:tab w:val="center" w:pos="4677" w:leader="none"/>
        <w:tab w:val="right" w:pos="9355" w:leader="none"/>
      </w:tabs>
      <w:pBdr>
        <w:bottom w:val="single" w:color="000000" w:sz="4" w:space="0"/>
      </w:pBdr>
    </w:pPr>
    <w:r>
      <w:rPr>
        <w:b/>
        <w:bCs/>
        <w:sz w:val="24"/>
        <w:szCs w:val="24"/>
      </w:rPr>
      <w:t xml:space="preserve">Суворовский</w:t>
    </w:r>
    <w:r>
      <w:rPr>
        <w:b/>
        <w:bCs/>
        <w:sz w:val="24"/>
        <w:szCs w:val="24"/>
      </w:rPr>
      <w:t xml:space="preserve"> пр., 67, к.26, тел.:539-41-89, www.lenobl.ru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5"/>
    <w:next w:val="67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6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5"/>
    <w:next w:val="675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5"/>
    <w:next w:val="67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5"/>
    <w:next w:val="67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5"/>
    <w:next w:val="67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5"/>
    <w:next w:val="67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5"/>
    <w:next w:val="67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5"/>
    <w:next w:val="67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5"/>
    <w:next w:val="67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5"/>
    <w:uiPriority w:val="34"/>
    <w:qFormat/>
    <w:pPr>
      <w:contextualSpacing/>
      <w:ind w:left="720"/>
    </w:pPr>
  </w:style>
  <w:style w:type="paragraph" w:styleId="35">
    <w:name w:val="Title"/>
    <w:basedOn w:val="675"/>
    <w:next w:val="675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6"/>
    <w:link w:val="35"/>
    <w:uiPriority w:val="10"/>
    <w:rPr>
      <w:sz w:val="48"/>
      <w:szCs w:val="48"/>
    </w:rPr>
  </w:style>
  <w:style w:type="paragraph" w:styleId="37">
    <w:name w:val="Subtitle"/>
    <w:basedOn w:val="675"/>
    <w:next w:val="67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6"/>
    <w:link w:val="37"/>
    <w:uiPriority w:val="11"/>
    <w:rPr>
      <w:sz w:val="24"/>
      <w:szCs w:val="24"/>
    </w:rPr>
  </w:style>
  <w:style w:type="paragraph" w:styleId="39">
    <w:name w:val="Quote"/>
    <w:basedOn w:val="675"/>
    <w:next w:val="67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5"/>
    <w:next w:val="67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75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76"/>
    <w:link w:val="43"/>
    <w:uiPriority w:val="99"/>
  </w:style>
  <w:style w:type="paragraph" w:styleId="45">
    <w:name w:val="Footer"/>
    <w:basedOn w:val="67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76"/>
    <w:link w:val="45"/>
    <w:uiPriority w:val="99"/>
  </w:style>
  <w:style w:type="paragraph" w:styleId="47">
    <w:name w:val="Caption"/>
    <w:basedOn w:val="675"/>
    <w:next w:val="67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6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6"/>
    <w:uiPriority w:val="99"/>
    <w:unhideWhenUsed/>
    <w:rPr>
      <w:vertAlign w:val="superscript"/>
    </w:rPr>
  </w:style>
  <w:style w:type="paragraph" w:styleId="179">
    <w:name w:val="endnote text"/>
    <w:basedOn w:val="67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6"/>
    <w:uiPriority w:val="99"/>
    <w:semiHidden/>
    <w:unhideWhenUsed/>
    <w:rPr>
      <w:vertAlign w:val="superscript"/>
    </w:rPr>
  </w:style>
  <w:style w:type="paragraph" w:styleId="182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Arial Unicode MS"/>
      <w:color w:val="000000"/>
      <w:sz w:val="28"/>
      <w:szCs w:val="28"/>
      <w:lang w:eastAsia="ru-RU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paragraph" w:styleId="67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80">
    <w:name w:val="No Spacing"/>
    <w:uiPriority w:val="1"/>
    <w:qFormat/>
    <w:pPr>
      <w:spacing w:after="0" w:line="240" w:lineRule="auto"/>
    </w:pPr>
  </w:style>
  <w:style w:type="paragraph" w:styleId="1_605" w:customStyle="1">
    <w:name w:val="Основной текст"/>
    <w:next w:val="87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framePr w:w="0" w:h="0" w:vSpace="0" w:hSpace="0" w:vAnchor="margin" w:xAlign="left" w:y="0" w:hRule="exact"/>
      <w:outlineLvl w:val="9"/>
      <w:suppressLineNumbers w:val="0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shd w:val="nil" w:color="000000"/>
      <w:vertAlign w:val="baseline"/>
      <w:rtl w:val="0"/>
      <w:cs w:val="0"/>
      <w:lang w:val="ru-RU" w:eastAsia="zh-CN" w:bidi="ar-SA"/>
      <w14:textOutline>
        <w14:noFill/>
        <w14:miter/>
      </w14:textOutline>
      <w14:textFill>
        <w14:solidFill>
          <w14:srgbClr w14:val="000000"/>
        </w14:solidFill>
      </w14:textFill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Тигранович Акопян</dc:creator>
  <cp:lastModifiedBy>sv_burenina</cp:lastModifiedBy>
  <cp:revision>5</cp:revision>
  <dcterms:created xsi:type="dcterms:W3CDTF">2023-07-05T06:21:00Z</dcterms:created>
  <dcterms:modified xsi:type="dcterms:W3CDTF">2026-07-03T08:48:20Z</dcterms:modified>
</cp:coreProperties>
</file>